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安丘市新安街道办事处2024年政府信息公开工作年度报告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根据《中华人民共和国政府信息公开条例》（国务院令第711号，以下简称《条例》）《国务院办公厅政府信息与政务公开办公室关于印发中华人民共和国政府信息公开工作年度报告格式的通知》（国办公开办函〔2021〕30号）等有关法律法规的要求编制。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pPr>
        <w:keepNext w:val="0"/>
        <w:keepLines w:val="0"/>
        <w:pageBreakBefore w:val="0"/>
        <w:kinsoku/>
        <w:wordWrap/>
        <w:overflowPunct/>
        <w:topLinePunct w:val="0"/>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sz w:val="32"/>
          <w:szCs w:val="32"/>
          <w:highlight w:val="yellow"/>
          <w:lang w:val="en-US" w:eastAsia="zh-CN"/>
        </w:rPr>
      </w:pPr>
      <w:r>
        <w:rPr>
          <w:rFonts w:hint="eastAsia" w:ascii="黑体" w:hAnsi="黑体" w:eastAsia="黑体" w:cs="黑体"/>
          <w:sz w:val="32"/>
          <w:szCs w:val="32"/>
          <w:lang w:val="en-US" w:eastAsia="zh-CN"/>
        </w:rPr>
        <w:t>一、总体情况</w:t>
      </w:r>
    </w:p>
    <w:p>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本年度政府信息公开工作取得了积极进展，充分利用政府门户网站、官方微信公众号、公示栏等多种渠道，及时、准确、全面地公开政府信息，涵盖了政策法规、决策部署等多个方面，提升信息公开质量，全面提升了政府工作的透明度和公信力。</w:t>
      </w:r>
    </w:p>
    <w:p>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kern w:val="0"/>
          <w:sz w:val="32"/>
          <w:szCs w:val="32"/>
          <w:highlight w:val="none"/>
          <w:shd w:val="clear" w:color="auto" w:fill="auto"/>
          <w:lang w:eastAsia="zh-CN"/>
        </w:rPr>
      </w:pPr>
      <w:r>
        <w:rPr>
          <w:rFonts w:hint="eastAsia" w:ascii="楷体_GB2312" w:hAnsi="楷体_GB2312" w:eastAsia="楷体_GB2312" w:cs="楷体_GB2312"/>
          <w:kern w:val="0"/>
          <w:sz w:val="32"/>
          <w:szCs w:val="32"/>
          <w:highlight w:val="none"/>
          <w:shd w:val="clear" w:color="auto" w:fill="auto"/>
        </w:rPr>
        <w:t>（一）主动公开</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3" w:firstLineChars="200"/>
        <w:jc w:val="both"/>
        <w:textAlignment w:val="auto"/>
        <w:rPr>
          <w:rFonts w:hint="eastAsia" w:ascii="仿宋_GB2312" w:hAnsi="仿宋" w:eastAsia="仿宋_GB2312" w:cs="仿宋_GB2312"/>
          <w:b/>
          <w:bCs/>
          <w:kern w:val="2"/>
          <w:sz w:val="32"/>
          <w:szCs w:val="32"/>
          <w:highlight w:val="none"/>
          <w:shd w:val="clear" w:color="auto" w:fill="auto"/>
        </w:rPr>
      </w:pPr>
      <w:r>
        <w:rPr>
          <w:rFonts w:hint="eastAsia" w:ascii="仿宋_GB2312" w:hAnsi="仿宋" w:eastAsia="仿宋_GB2312" w:cs="仿宋"/>
          <w:b/>
          <w:bCs/>
          <w:kern w:val="2"/>
          <w:sz w:val="32"/>
          <w:szCs w:val="32"/>
          <w:highlight w:val="none"/>
          <w:shd w:val="clear" w:color="auto" w:fill="auto"/>
        </w:rPr>
        <w:t>1.</w:t>
      </w:r>
      <w:r>
        <w:rPr>
          <w:rFonts w:hint="eastAsia" w:ascii="仿宋_GB2312" w:hAnsi="仿宋" w:eastAsia="仿宋_GB2312" w:cs="仿宋_GB2312"/>
          <w:b/>
          <w:bCs/>
          <w:kern w:val="2"/>
          <w:sz w:val="32"/>
          <w:szCs w:val="32"/>
          <w:highlight w:val="none"/>
          <w:shd w:val="clear" w:color="auto" w:fill="auto"/>
        </w:rPr>
        <w:t>体制机制建设情况</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rPr>
          <w:rFonts w:hint="eastAsia" w:ascii="仿宋_GB2312" w:hAnsi="仿宋" w:eastAsia="仿宋_GB2312" w:cs="仿宋_GB2312"/>
          <w:kern w:val="2"/>
          <w:sz w:val="32"/>
          <w:szCs w:val="32"/>
          <w:highlight w:val="none"/>
          <w:shd w:val="clear" w:color="auto" w:fill="auto"/>
          <w:lang w:eastAsia="zh-CN"/>
        </w:rPr>
      </w:pPr>
      <w:r>
        <w:rPr>
          <w:rFonts w:hint="eastAsia" w:ascii="仿宋_GB2312" w:hAnsi="仿宋" w:eastAsia="仿宋_GB2312" w:cs="仿宋_GB2312"/>
          <w:kern w:val="2"/>
          <w:sz w:val="32"/>
          <w:szCs w:val="32"/>
          <w:highlight w:val="none"/>
          <w:shd w:val="clear" w:color="auto" w:fill="auto"/>
          <w:lang w:eastAsia="zh-CN"/>
        </w:rPr>
        <w:t>街道明确职责分工，成立政府信息公开工作领导小组，设立专门的信息公开工作机构，形成了齐抓共管的工作格局，确保各项任务得到有效落实。</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3" w:firstLineChars="200"/>
        <w:jc w:val="both"/>
        <w:textAlignment w:val="auto"/>
        <w:rPr>
          <w:rFonts w:hint="default" w:ascii="仿宋_GB2312" w:hAnsi="仿宋" w:eastAsia="仿宋_GB2312" w:cs="仿宋"/>
          <w:b/>
          <w:bCs/>
          <w:kern w:val="2"/>
          <w:sz w:val="32"/>
          <w:szCs w:val="32"/>
          <w:highlight w:val="none"/>
          <w:shd w:val="clear" w:color="auto" w:fill="auto"/>
          <w:lang w:val="en-US" w:eastAsia="zh-CN"/>
        </w:rPr>
      </w:pPr>
      <w:r>
        <w:rPr>
          <w:rFonts w:hint="eastAsia" w:ascii="仿宋_GB2312" w:hAnsi="仿宋" w:eastAsia="仿宋_GB2312" w:cs="仿宋"/>
          <w:b/>
          <w:bCs/>
          <w:kern w:val="2"/>
          <w:sz w:val="32"/>
          <w:szCs w:val="32"/>
          <w:highlight w:val="none"/>
          <w:shd w:val="clear" w:color="auto" w:fill="auto"/>
          <w:lang w:val="en-US" w:eastAsia="zh-CN"/>
        </w:rPr>
        <w:t>2.主动公开信息情况</w:t>
      </w:r>
    </w:p>
    <w:p>
      <w:pPr>
        <w:pStyle w:val="3"/>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仿宋_GB2312"/>
          <w:b w:val="0"/>
          <w:kern w:val="2"/>
          <w:sz w:val="32"/>
          <w:szCs w:val="32"/>
          <w:highlight w:val="none"/>
          <w:shd w:val="clear" w:color="auto" w:fill="auto"/>
          <w:lang w:val="en-US" w:eastAsia="zh-CN" w:bidi="ar"/>
        </w:rPr>
      </w:pPr>
      <w:r>
        <w:rPr>
          <w:rFonts w:hint="eastAsia" w:ascii="仿宋_GB2312" w:hAnsi="仿宋" w:eastAsia="仿宋_GB2312" w:cs="仿宋_GB2312"/>
          <w:b w:val="0"/>
          <w:kern w:val="2"/>
          <w:sz w:val="32"/>
          <w:szCs w:val="32"/>
          <w:highlight w:val="none"/>
          <w:shd w:val="clear" w:color="auto" w:fill="auto"/>
          <w:lang w:val="en-US" w:eastAsia="zh-CN" w:bidi="ar"/>
        </w:rPr>
        <w:t>今年，街道通过网站主动公开政府信息共68条，比2024年减少7条。及时更新机构基本信息、领导成员和分工；公开新安街道办事处2024年财政预算；及时发布环境保护、安全生产、水利信息、产业结构调整、公共资源配置、社会公益事业建设等其他重点领域信息。</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eastAsia" w:ascii="仿宋_GB2312" w:hAnsi="仿宋" w:eastAsia="仿宋_GB2312" w:cs="仿宋"/>
          <w:b/>
          <w:bCs/>
          <w:kern w:val="2"/>
          <w:sz w:val="32"/>
          <w:szCs w:val="32"/>
          <w:lang w:val="en-US" w:eastAsia="zh-CN" w:bidi="ar-SA"/>
        </w:rPr>
      </w:pPr>
      <w:r>
        <w:rPr>
          <w:rFonts w:hint="eastAsia" w:ascii="仿宋_GB2312" w:hAnsi="仿宋" w:eastAsia="仿宋_GB2312" w:cs="仿宋"/>
          <w:b/>
          <w:bCs/>
          <w:kern w:val="2"/>
          <w:sz w:val="32"/>
          <w:szCs w:val="32"/>
          <w:lang w:val="en-US" w:eastAsia="zh-CN" w:bidi="ar-SA"/>
        </w:rPr>
        <w:t>3.解读回应关切</w:t>
      </w:r>
    </w:p>
    <w:p>
      <w:pPr>
        <w:pStyle w:val="3"/>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仿宋_GB2312" w:hAnsi="仿宋" w:eastAsia="仿宋_GB2312" w:cs="仿宋_GB2312"/>
          <w:b w:val="0"/>
          <w:kern w:val="2"/>
          <w:sz w:val="32"/>
          <w:szCs w:val="32"/>
          <w:highlight w:val="none"/>
          <w:shd w:val="clear" w:color="auto" w:fill="auto"/>
          <w:lang w:val="en-US" w:eastAsia="zh-CN" w:bidi="ar"/>
        </w:rPr>
      </w:pPr>
      <w:r>
        <w:rPr>
          <w:rFonts w:hint="eastAsia" w:ascii="仿宋_GB2312" w:hAnsi="仿宋" w:eastAsia="仿宋_GB2312" w:cs="仿宋_GB2312"/>
          <w:b w:val="0"/>
          <w:kern w:val="2"/>
          <w:sz w:val="32"/>
          <w:szCs w:val="32"/>
          <w:highlight w:val="none"/>
          <w:shd w:val="clear" w:color="auto" w:fill="auto"/>
          <w:lang w:val="en-US" w:eastAsia="zh-CN" w:bidi="ar"/>
        </w:rPr>
        <w:t>针对公众关切，及时通过网站政府网站发布权威信息，通过线下走访，解答公众疑惑。</w:t>
      </w:r>
    </w:p>
    <w:p>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rPr>
          <w:rFonts w:hint="default"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（二）依申请公开</w:t>
      </w:r>
    </w:p>
    <w:p>
      <w:pPr>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yellow"/>
          <w:lang w:eastAsia="zh-CN"/>
        </w:rPr>
      </w:pPr>
      <w:r>
        <w:rPr>
          <w:rFonts w:hint="eastAsia" w:ascii="仿宋_GB2312" w:hAnsi="仿宋_GB2312" w:eastAsia="仿宋_GB2312" w:cs="仿宋_GB2312"/>
          <w:color w:val="auto"/>
          <w:sz w:val="32"/>
          <w:szCs w:val="32"/>
          <w:lang w:eastAsia="zh-CN"/>
        </w:rPr>
        <w:t>根据《中华人民共和国政府信息公开条例》的相关规定，细化依申请公开的信息范围，规范申请与受理流程，明确申请受理、审查、答复的时限和要求。今年</w:t>
      </w:r>
      <w:r>
        <w:rPr>
          <w:rFonts w:hint="eastAsia" w:ascii="仿宋_GB2312" w:hAnsi="仿宋_GB2312" w:eastAsia="仿宋_GB2312" w:cs="仿宋_GB2312"/>
          <w:color w:val="auto"/>
          <w:sz w:val="32"/>
          <w:szCs w:val="32"/>
        </w:rPr>
        <w:t>共收到依申请公开政府信息</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件，</w:t>
      </w:r>
      <w:r>
        <w:rPr>
          <w:rFonts w:hint="eastAsia" w:ascii="仿宋_GB2312" w:hAnsi="仿宋_GB2312" w:eastAsia="仿宋_GB2312" w:cs="仿宋_GB2312"/>
          <w:color w:val="auto"/>
          <w:sz w:val="32"/>
          <w:szCs w:val="32"/>
          <w:lang w:val="en-US" w:eastAsia="zh-CN"/>
        </w:rPr>
        <w:t>与2023年</w:t>
      </w:r>
      <w:r>
        <w:rPr>
          <w:rFonts w:hint="eastAsia" w:ascii="仿宋_GB2312" w:hAnsi="仿宋_GB2312" w:eastAsia="仿宋_GB2312" w:cs="仿宋_GB2312"/>
          <w:color w:val="auto"/>
          <w:sz w:val="32"/>
          <w:szCs w:val="32"/>
        </w:rPr>
        <w:t>政府信息公开申请</w:t>
      </w:r>
      <w:r>
        <w:rPr>
          <w:rFonts w:hint="eastAsia" w:ascii="仿宋_GB2312" w:hAnsi="仿宋_GB2312" w:eastAsia="仿宋_GB2312" w:cs="仿宋_GB2312"/>
          <w:color w:val="auto"/>
          <w:sz w:val="32"/>
          <w:szCs w:val="32"/>
          <w:lang w:val="en-US" w:eastAsia="zh-CN"/>
        </w:rPr>
        <w:t>相比无变化，</w:t>
      </w:r>
      <w:r>
        <w:rPr>
          <w:rFonts w:hint="eastAsia" w:ascii="仿宋_GB2312" w:hAnsi="仿宋_GB2312" w:eastAsia="仿宋_GB2312" w:cs="仿宋_GB2312"/>
          <w:color w:val="auto"/>
          <w:sz w:val="32"/>
          <w:szCs w:val="32"/>
          <w:lang w:eastAsia="zh-CN"/>
        </w:rPr>
        <w:fldChar w:fldCharType="begin"/>
      </w:r>
      <w:r>
        <w:rPr>
          <w:rFonts w:hint="eastAsia" w:ascii="仿宋_GB2312" w:hAnsi="仿宋_GB2312" w:eastAsia="仿宋_GB2312" w:cs="仿宋_GB2312"/>
          <w:color w:val="auto"/>
          <w:sz w:val="32"/>
          <w:szCs w:val="32"/>
          <w:lang w:eastAsia="zh-CN"/>
        </w:rPr>
        <w:instrText xml:space="preserve"> HYPERLINK "https://10.82.21.130/wcm/WCMV6/gkml/sqgk/applyform_add_manager.jsp?ApplyFormId=27243" \t "https://10.82.21.130/wcm/WCMV6/gkml/sqgk/_blank" </w:instrText>
      </w:r>
      <w:r>
        <w:rPr>
          <w:rFonts w:hint="eastAsia" w:ascii="仿宋_GB2312" w:hAnsi="仿宋_GB2312" w:eastAsia="仿宋_GB2312" w:cs="仿宋_GB2312"/>
          <w:color w:val="auto"/>
          <w:sz w:val="32"/>
          <w:szCs w:val="32"/>
          <w:lang w:eastAsia="zh-CN"/>
        </w:rPr>
        <w:fldChar w:fldCharType="separate"/>
      </w:r>
      <w:r>
        <w:rPr>
          <w:rFonts w:hint="eastAsia" w:ascii="仿宋_GB2312" w:hAnsi="仿宋_GB2312" w:eastAsia="仿宋_GB2312" w:cs="仿宋_GB2312"/>
          <w:color w:val="auto"/>
          <w:sz w:val="32"/>
          <w:szCs w:val="32"/>
          <w:lang w:eastAsia="zh-CN"/>
        </w:rPr>
        <w:t>主要涉及房屋拆迁</w:t>
      </w:r>
      <w:r>
        <w:rPr>
          <w:rFonts w:hint="eastAsia" w:ascii="仿宋_GB2312" w:hAnsi="仿宋_GB2312" w:eastAsia="仿宋_GB2312" w:cs="仿宋_GB2312"/>
          <w:color w:val="auto"/>
          <w:sz w:val="32"/>
          <w:szCs w:val="32"/>
          <w:lang w:eastAsia="zh-CN"/>
        </w:rPr>
        <w:fldChar w:fldCharType="end"/>
      </w:r>
      <w:r>
        <w:rPr>
          <w:rFonts w:hint="eastAsia" w:ascii="仿宋_GB2312" w:hAnsi="仿宋_GB2312" w:eastAsia="仿宋_GB2312" w:cs="仿宋_GB2312"/>
          <w:color w:val="auto"/>
          <w:sz w:val="32"/>
          <w:szCs w:val="32"/>
          <w:lang w:eastAsia="zh-CN"/>
        </w:rPr>
        <w:t>，已按时办结。</w:t>
      </w:r>
      <w:r>
        <w:rPr>
          <w:rFonts w:hint="eastAsia" w:ascii="仿宋_GB2312" w:hAnsi="仿宋_GB2312" w:eastAsia="仿宋_GB2312" w:cs="仿宋_GB2312"/>
          <w:color w:val="auto"/>
          <w:sz w:val="32"/>
          <w:szCs w:val="32"/>
        </w:rPr>
        <w:t>因政府信息公开</w:t>
      </w:r>
      <w:r>
        <w:rPr>
          <w:rFonts w:hint="eastAsia" w:ascii="仿宋_GB2312" w:hAnsi="仿宋_GB2312" w:eastAsia="仿宋_GB2312" w:cs="仿宋_GB2312"/>
          <w:color w:val="auto"/>
          <w:sz w:val="32"/>
          <w:szCs w:val="32"/>
          <w:highlight w:val="none"/>
        </w:rPr>
        <w:t>被申请行政复议</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件</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highlight w:val="none"/>
        </w:rPr>
        <w:t>提起行政诉讼0件。</w:t>
      </w:r>
      <w:r>
        <w:rPr>
          <w:rFonts w:hint="eastAsia" w:ascii="仿宋_GB2312" w:hAnsi="仿宋_GB2312" w:eastAsia="仿宋_GB2312" w:cs="仿宋_GB2312"/>
          <w:color w:val="auto"/>
          <w:sz w:val="32"/>
          <w:szCs w:val="32"/>
          <w:highlight w:val="none"/>
          <w:lang w:eastAsia="zh-CN"/>
        </w:rPr>
        <w:t>无收费情况。</w:t>
      </w:r>
    </w:p>
    <w:p>
      <w:pPr>
        <w:pStyle w:val="2"/>
        <w:keepNext w:val="0"/>
        <w:keepLines w:val="0"/>
        <w:pageBreakBefore w:val="0"/>
        <w:kinsoku/>
        <w:wordWrap/>
        <w:overflowPunct/>
        <w:topLinePunct w:val="0"/>
        <w:autoSpaceDN/>
        <w:bidi w:val="0"/>
        <w:spacing w:line="240" w:lineRule="auto"/>
        <w:ind w:left="0" w:leftChars="0" w:firstLine="0" w:firstLineChars="0"/>
        <w:jc w:val="center"/>
        <w:textAlignment w:val="auto"/>
        <w:rPr>
          <w:rFonts w:hint="eastAsia"/>
          <w:lang w:eastAsia="zh-CN"/>
        </w:rPr>
      </w:pPr>
      <w:r>
        <w:rPr>
          <w:rFonts w:hint="eastAsia"/>
          <w:lang w:eastAsia="zh-CN"/>
        </w:rPr>
        <w:drawing>
          <wp:inline distT="0" distB="0" distL="114300" distR="114300">
            <wp:extent cx="4857750" cy="2638425"/>
            <wp:effectExtent l="0" t="0" r="0" b="9525"/>
            <wp:docPr id="1" name="图片 1" descr="微信截图_2025010817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50108172808"/>
                    <pic:cNvPicPr>
                      <a:picLocks noChangeAspect="1"/>
                    </pic:cNvPicPr>
                  </pic:nvPicPr>
                  <pic:blipFill>
                    <a:blip r:embed="rId4"/>
                    <a:stretch>
                      <a:fillRect/>
                    </a:stretch>
                  </pic:blipFill>
                  <pic:spPr>
                    <a:xfrm>
                      <a:off x="0" y="0"/>
                      <a:ext cx="4857750" cy="2638425"/>
                    </a:xfrm>
                    <a:prstGeom prst="rect">
                      <a:avLst/>
                    </a:prstGeom>
                  </pic:spPr>
                </pic:pic>
              </a:graphicData>
            </a:graphic>
          </wp:inline>
        </w:drawing>
      </w:r>
    </w:p>
    <w:p>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kern w:val="0"/>
          <w:sz w:val="32"/>
          <w:szCs w:val="32"/>
        </w:rPr>
      </w:pPr>
      <w:bookmarkStart w:id="5" w:name="_GoBack"/>
      <w:r>
        <w:rPr>
          <w:rFonts w:hint="eastAsia" w:ascii="楷体_GB2312" w:hAnsi="楷体_GB2312" w:eastAsia="楷体_GB2312" w:cs="楷体_GB2312"/>
          <w:kern w:val="0"/>
          <w:sz w:val="32"/>
          <w:szCs w:val="32"/>
        </w:rPr>
        <w:t>（三）政府信息管理</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cs="仿宋"/>
          <w:b w:val="0"/>
          <w:bCs w:val="0"/>
          <w:kern w:val="2"/>
          <w:sz w:val="32"/>
          <w:szCs w:val="32"/>
          <w:lang w:val="en-US" w:eastAsia="zh-CN" w:bidi="ar-SA"/>
        </w:rPr>
      </w:pPr>
      <w:r>
        <w:rPr>
          <w:rFonts w:hint="eastAsia" w:ascii="仿宋_GB2312" w:hAnsi="仿宋" w:eastAsia="仿宋_GB2312" w:cs="仿宋"/>
          <w:b w:val="0"/>
          <w:bCs w:val="0"/>
          <w:kern w:val="2"/>
          <w:sz w:val="32"/>
          <w:szCs w:val="32"/>
          <w:lang w:val="en-US" w:eastAsia="zh-CN" w:bidi="ar-SA"/>
        </w:rPr>
        <w:t>街道制定并实施政府信息全生命周期管理制度，包括对政务信息的撰写、审核、发布、归档等各环节，进一步完善政府信息管理制度，明确信息公开的范围、程序、责任与监督机制，建立政府信息分类目录。建立了政府信息管理动态调整机制，定期对已公开的政府信息进行复核，对失效、废止或变更的信息，及时进行调整更新。认真落实《中华人民共和国保守国家秘密法》《中华人民共和国政府信息公开条例》等规定，按照“先审查、后公开”的原则，严格做好政府信息公开保密审查，确保公开信息不涉密、涉密信息不公开。</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0" w:firstLineChars="200"/>
        <w:jc w:val="both"/>
        <w:textAlignment w:val="auto"/>
        <w:rPr>
          <w:rFonts w:hint="default"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（四）</w:t>
      </w:r>
      <w:bookmarkStart w:id="0" w:name="OLE_LINK6"/>
      <w:r>
        <w:rPr>
          <w:rFonts w:hint="eastAsia" w:ascii="楷体_GB2312" w:hAnsi="楷体_GB2312" w:eastAsia="楷体_GB2312" w:cs="楷体_GB2312"/>
          <w:kern w:val="0"/>
          <w:sz w:val="32"/>
          <w:szCs w:val="32"/>
          <w:lang w:val="en-US" w:eastAsia="zh-CN" w:bidi="ar"/>
        </w:rPr>
        <w:t>政府信息公开平台建设</w:t>
      </w:r>
      <w:bookmarkEnd w:id="0"/>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pacing w:val="0"/>
          <w:sz w:val="32"/>
          <w:szCs w:val="32"/>
          <w:highlight w:val="none"/>
          <w:shd w:val="clear" w:color="auto" w:fill="FFFFFF"/>
        </w:rPr>
      </w:pPr>
      <w:r>
        <w:rPr>
          <w:rFonts w:hint="eastAsia" w:ascii="仿宋_GB2312" w:eastAsia="仿宋_GB2312"/>
          <w:color w:val="auto"/>
          <w:sz w:val="32"/>
          <w:szCs w:val="32"/>
          <w:highlight w:val="none"/>
          <w:lang w:val="en-US" w:eastAsia="zh-CN"/>
        </w:rPr>
        <w:t>目前政府网站作为信息公开的主要渠道</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政务公开专区布局合理，设置了信息查询区功能区域，</w:t>
      </w:r>
      <w:r>
        <w:rPr>
          <w:rFonts w:hint="eastAsia" w:ascii="仿宋_GB2312" w:eastAsia="仿宋_GB2312"/>
          <w:color w:val="auto"/>
          <w:sz w:val="32"/>
          <w:szCs w:val="32"/>
          <w:highlight w:val="none"/>
          <w:lang w:eastAsia="zh-CN"/>
        </w:rPr>
        <w:t>集中展示组织机构、工作信息、人事信息、其他信息、重点领域六</w:t>
      </w:r>
      <w:r>
        <w:rPr>
          <w:rFonts w:hint="eastAsia" w:ascii="仿宋_GB2312" w:eastAsia="仿宋_GB2312"/>
          <w:color w:val="auto"/>
          <w:sz w:val="32"/>
          <w:szCs w:val="32"/>
          <w:highlight w:val="none"/>
          <w:lang w:val="en-US" w:eastAsia="zh-CN"/>
        </w:rPr>
        <w:t>个模块，专栏内容定期更新，确保信息的时效性，同时，专区设有意见征集板块，鼓励公众对政府信息公开工作提出建议和意见，提升公众的服务体验。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（五）监督保障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eastAsia="zh-CN"/>
        </w:rPr>
      </w:pPr>
      <w:bookmarkStart w:id="1" w:name="OLE_LINK1"/>
      <w:r>
        <w:rPr>
          <w:rFonts w:hint="eastAsia" w:ascii="仿宋_GB2312" w:eastAsia="仿宋_GB2312"/>
          <w:sz w:val="32"/>
          <w:szCs w:val="32"/>
          <w:lang w:eastAsia="zh-CN"/>
        </w:rPr>
        <w:t>街道成立政府信息公开工作领导小组，</w:t>
      </w:r>
      <w:r>
        <w:rPr>
          <w:rFonts w:hint="eastAsia" w:ascii="仿宋_GB2312" w:eastAsia="仿宋_GB2312"/>
          <w:sz w:val="32"/>
          <w:szCs w:val="32"/>
          <w:lang w:val="en-US" w:eastAsia="zh-CN"/>
        </w:rPr>
        <w:t>6</w:t>
      </w:r>
      <w:r>
        <w:rPr>
          <w:rFonts w:hint="eastAsia" w:ascii="仿宋_GB2312" w:eastAsia="仿宋_GB2312"/>
          <w:sz w:val="32"/>
          <w:szCs w:val="32"/>
          <w:lang w:eastAsia="zh-CN"/>
        </w:rPr>
        <w:t>名小组成员负责统筹协调、监督指导全机关的政府信息公开工作，定期召开会议，研究解决工作中出现的问题。建立考核通报制度，本年度考核无扣分情况，街道未发生违反政府信息公开规定的事件，没有因政府信息公开工作不当而追究责任的情况。街道配备</w:t>
      </w:r>
      <w:r>
        <w:rPr>
          <w:rFonts w:hint="eastAsia" w:ascii="仿宋_GB2312" w:eastAsia="仿宋_GB2312"/>
          <w:sz w:val="32"/>
          <w:szCs w:val="32"/>
          <w:lang w:val="en-US" w:eastAsia="zh-CN"/>
        </w:rPr>
        <w:t>2</w:t>
      </w:r>
      <w:r>
        <w:rPr>
          <w:rFonts w:hint="eastAsia" w:ascii="仿宋_GB2312" w:eastAsia="仿宋_GB2312"/>
          <w:sz w:val="32"/>
          <w:szCs w:val="32"/>
          <w:lang w:eastAsia="zh-CN"/>
        </w:rPr>
        <w:t>名专职工作人员，并组织开展政府信息公开业务培训活动，提升工作人员的专业素养和实际操作能力。通过问卷调查等方式，广泛征求公众对政府信息公开工作的意见和建议。</w:t>
      </w:r>
      <w:bookmarkEnd w:id="1"/>
      <w:r>
        <w:rPr>
          <w:rFonts w:hint="eastAsia" w:ascii="仿宋_GB2312" w:hAnsi="仿宋_GB2312" w:eastAsia="仿宋_GB2312" w:cs="仿宋_GB2312"/>
          <w:color w:val="auto"/>
          <w:sz w:val="32"/>
          <w:szCs w:val="32"/>
          <w:shd w:val="clear" w:color="auto" w:fill="FFFFFF"/>
          <w:lang w:val="en-US" w:eastAsia="zh-CN"/>
        </w:rPr>
        <w:t>街道在政务信息公开工作中严格按照预算执行，确保经费使用的合理性和高效性。</w:t>
      </w:r>
    </w:p>
    <w:bookmarkEnd w:id="5"/>
    <w:p>
      <w:pPr>
        <w:keepNext w:val="0"/>
        <w:keepLines w:val="0"/>
        <w:pageBreakBefore w:val="0"/>
        <w:kinsoku/>
        <w:wordWrap/>
        <w:overflowPunct/>
        <w:topLinePunct w:val="0"/>
        <w:autoSpaceDN/>
        <w:bidi w:val="0"/>
        <w:spacing w:line="560" w:lineRule="exact"/>
        <w:ind w:firstLine="640" w:firstLineChars="200"/>
        <w:jc w:val="both"/>
        <w:textAlignment w:val="auto"/>
        <w:rPr>
          <w:rFonts w:hint="default"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二、主动公开政府信息情况</w:t>
      </w:r>
    </w:p>
    <w:tbl>
      <w:tblPr>
        <w:tblStyle w:val="6"/>
        <w:tblW w:w="9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60"/>
        <w:gridCol w:w="2260"/>
        <w:gridCol w:w="2260"/>
        <w:gridCol w:w="2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color w:val="000000"/>
                <w:kern w:val="0"/>
                <w:sz w:val="20"/>
                <w:szCs w:val="20"/>
                <w:lang w:val="en-US" w:eastAsia="zh-CN" w:bidi="ar"/>
              </w:rPr>
              <w:t>信息内容</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color w:val="000000"/>
                <w:kern w:val="0"/>
                <w:sz w:val="20"/>
                <w:szCs w:val="20"/>
                <w:lang w:val="en-US" w:eastAsia="zh-CN" w:bidi="ar"/>
              </w:rPr>
              <w:t>本年废止件数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color w:val="000000"/>
                <w:kern w:val="0"/>
                <w:sz w:val="20"/>
                <w:szCs w:val="20"/>
                <w:lang w:val="en-US" w:eastAsia="zh-CN" w:bidi="ar"/>
              </w:rPr>
              <w:t>规章</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rPr>
                <w:rFonts w:hint="default"/>
                <w:lang w:val="en-US"/>
              </w:rPr>
            </w:pPr>
            <w:r>
              <w:rPr>
                <w:rFonts w:hint="eastAsia"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color w:val="000000"/>
                <w:kern w:val="0"/>
                <w:sz w:val="20"/>
                <w:szCs w:val="20"/>
                <w:lang w:val="en-US" w:eastAsia="zh-CN" w:bidi="ar"/>
              </w:rPr>
              <w:t>行政规范性文件</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rPr>
                <w:rFonts w:hint="default"/>
                <w:lang w:val="en-US"/>
              </w:rPr>
            </w:pPr>
            <w:r>
              <w:rPr>
                <w:rFonts w:hint="eastAsia"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color w:val="000000"/>
                <w:kern w:val="0"/>
                <w:sz w:val="20"/>
                <w:szCs w:val="20"/>
                <w:lang w:val="en-US" w:eastAsia="zh-CN" w:bidi="ar"/>
              </w:rPr>
              <w:t>信息内容</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color w:val="000000"/>
                <w:kern w:val="0"/>
                <w:sz w:val="20"/>
                <w:szCs w:val="20"/>
                <w:lang w:val="en-US" w:eastAsia="zh-CN" w:bidi="ar"/>
              </w:rPr>
              <w:t>行政许可</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rPr>
                <w:rFonts w:hint="default"/>
                <w:lang w:val="en-US"/>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firstLine="0"/>
              <w:jc w:val="both"/>
              <w:textAlignment w:val="auto"/>
            </w:pPr>
            <w:r>
              <w:rPr>
                <w:rFonts w:hint="eastAsia" w:ascii="宋体" w:hAnsi="宋体" w:eastAsia="宋体" w:cs="宋体"/>
                <w:color w:val="000000"/>
                <w:kern w:val="0"/>
                <w:sz w:val="20"/>
                <w:szCs w:val="20"/>
                <w:lang w:val="en-US" w:eastAsia="zh-CN" w:bidi="ar"/>
              </w:rPr>
              <w:t>信息内容</w:t>
            </w:r>
          </w:p>
        </w:tc>
        <w:tc>
          <w:tcPr>
            <w:tcW w:w="6780"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firstLine="0"/>
              <w:jc w:val="both"/>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color w:val="000000"/>
                <w:kern w:val="0"/>
                <w:sz w:val="20"/>
                <w:szCs w:val="20"/>
                <w:lang w:val="en-US" w:eastAsia="zh-CN" w:bidi="ar"/>
              </w:rPr>
              <w:t>行政处罚</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color w:val="000000"/>
                <w:kern w:val="0"/>
                <w:sz w:val="20"/>
                <w:szCs w:val="20"/>
                <w:lang w:val="en-US" w:eastAsia="zh-CN" w:bidi="ar"/>
              </w:rPr>
              <w:t>行政强制</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color w:val="000000"/>
                <w:kern w:val="0"/>
                <w:sz w:val="20"/>
                <w:szCs w:val="20"/>
                <w:lang w:val="en-US" w:eastAsia="zh-CN" w:bidi="ar"/>
              </w:rPr>
              <w:t>信息内容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color w:val="000000"/>
                <w:kern w:val="0"/>
                <w:sz w:val="20"/>
                <w:szCs w:val="20"/>
                <w:lang w:val="en-US" w:eastAsia="zh-CN" w:bidi="ar"/>
              </w:rPr>
              <w:t>行政事业性收费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pageBreakBefore w:val="0"/>
        <w:numPr>
          <w:ilvl w:val="0"/>
          <w:numId w:val="0"/>
        </w:numPr>
        <w:kinsoku/>
        <w:wordWrap/>
        <w:overflowPunct/>
        <w:topLinePunct w:val="0"/>
        <w:autoSpaceDN/>
        <w:bidi w:val="0"/>
        <w:spacing w:line="560" w:lineRule="exact"/>
        <w:ind w:firstLine="640" w:firstLineChars="200"/>
        <w:jc w:val="both"/>
        <w:textAlignment w:val="auto"/>
        <w:rPr>
          <w:rFonts w:hint="default"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三、收到和处理政府信息公开申请情况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ascii="楷体" w:hAnsi="楷体" w:eastAsia="楷体" w:cs="楷体"/>
                <w:kern w:val="0"/>
                <w:sz w:val="20"/>
                <w:szCs w:val="20"/>
                <w:lang w:val="en-US" w:eastAsia="zh-CN" w:bidi="ar"/>
              </w:rPr>
              <w:t>（本列数据的</w:t>
            </w:r>
            <w:r>
              <w:rPr>
                <w:rFonts w:ascii="楷体" w:hAnsi="楷体" w:eastAsia="楷体" w:cs="楷体"/>
                <w:kern w:val="0"/>
                <w:sz w:val="20"/>
                <w:szCs w:val="20"/>
                <w:highlight w:val="none"/>
                <w:lang w:val="en-US" w:eastAsia="zh-CN" w:bidi="ar"/>
              </w:rPr>
              <w:t>勾稽</w:t>
            </w:r>
            <w:r>
              <w:rPr>
                <w:rFonts w:ascii="楷体" w:hAnsi="楷体" w:eastAsia="楷体" w:cs="楷体"/>
                <w:kern w:val="0"/>
                <w:sz w:val="20"/>
                <w:szCs w:val="20"/>
                <w:lang w:val="en-US" w:eastAsia="zh-CN" w:bidi="ar"/>
              </w:rPr>
              <w:t>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714"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自然人</w:t>
            </w:r>
          </w:p>
        </w:tc>
        <w:tc>
          <w:tcPr>
            <w:tcW w:w="357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714" w:type="dxa"/>
            <w:vMerge w:val="continue"/>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企业</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机构</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社会公益组织</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法律服务机构</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其他</w:t>
            </w:r>
          </w:p>
        </w:tc>
        <w:tc>
          <w:tcPr>
            <w:tcW w:w="714"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一、本年新收政府信息公开申请数量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olor w:val="auto"/>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二、上年结转政府信息公开申请数量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三、本年度办理结果</w:t>
            </w: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（一）予以公开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（三）不予公开</w:t>
            </w: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1.属于国家秘密</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2.其他法</w:t>
            </w:r>
            <w:r>
              <w:rPr>
                <w:rFonts w:hint="eastAsia" w:ascii="宋体" w:hAnsi="宋体" w:eastAsia="宋体" w:cs="宋体"/>
                <w:kern w:val="0"/>
                <w:sz w:val="20"/>
                <w:szCs w:val="20"/>
                <w:highlight w:val="none"/>
                <w:lang w:val="en-US" w:eastAsia="zh-CN" w:bidi="ar"/>
              </w:rPr>
              <w:t>律</w:t>
            </w:r>
            <w:r>
              <w:rPr>
                <w:rFonts w:hint="eastAsia" w:ascii="宋体" w:hAnsi="宋体" w:eastAsia="宋体" w:cs="宋体"/>
                <w:kern w:val="0"/>
                <w:sz w:val="20"/>
                <w:szCs w:val="20"/>
                <w:lang w:val="en-US" w:eastAsia="zh-CN" w:bidi="ar"/>
              </w:rPr>
              <w:t>行政法规禁止公开</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3.危及“三安全一稳定”</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4.保护第三方合法权益</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5.属于三类内部事务信息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6.属于四类过程性信息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olor w:val="auto"/>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7.属于行政执法案卷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8.属于行政查询事项</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（四）无法提供</w:t>
            </w: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1.本机关不掌握相关政府信息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olor w:val="auto"/>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2.没有现成信息需要另行制作</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3.补正后申请内容仍不明确</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（五）不予处理</w:t>
            </w: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1.信访举报投诉类申请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2.重复申请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olor w:val="auto"/>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3.要求提供公开出版物</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4.无正当理由大量反复申请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3406"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959"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（六）其他处理</w:t>
            </w:r>
          </w:p>
        </w:tc>
        <w:tc>
          <w:tcPr>
            <w:tcW w:w="340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1.申请人无正当理由逾期不补正、行政机关不再</w:t>
            </w:r>
            <w:r>
              <w:rPr>
                <w:rFonts w:hint="eastAsia" w:ascii="宋体" w:hAnsi="宋体" w:eastAsia="宋体" w:cs="宋体"/>
                <w:kern w:val="0"/>
                <w:sz w:val="20"/>
                <w:szCs w:val="20"/>
                <w:highlight w:val="none"/>
                <w:lang w:val="en-US" w:eastAsia="zh-CN" w:bidi="ar"/>
              </w:rPr>
              <w:t>处理</w:t>
            </w:r>
            <w:r>
              <w:rPr>
                <w:rFonts w:hint="eastAsia" w:ascii="宋体" w:hAnsi="宋体" w:eastAsia="宋体" w:cs="宋体"/>
                <w:kern w:val="0"/>
                <w:sz w:val="20"/>
                <w:szCs w:val="20"/>
                <w:lang w:val="en-US" w:eastAsia="zh-CN" w:bidi="ar"/>
              </w:rPr>
              <w:t>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rPr>
                <w:rFonts w:hint="eastAsia" w:cs="Calibri"/>
                <w:color w:val="auto"/>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w:t>
            </w:r>
            <w:r>
              <w:rPr>
                <w:rFonts w:hint="eastAsia" w:ascii="宋体" w:hAnsi="宋体" w:eastAsia="宋体" w:cs="宋体"/>
                <w:kern w:val="0"/>
                <w:sz w:val="20"/>
                <w:szCs w:val="20"/>
                <w:highlight w:val="none"/>
                <w:lang w:val="en-US" w:eastAsia="zh-CN" w:bidi="ar"/>
              </w:rPr>
              <w:t>处理</w:t>
            </w:r>
            <w:r>
              <w:rPr>
                <w:rFonts w:hint="eastAsia" w:ascii="宋体" w:hAnsi="宋体" w:eastAsia="宋体" w:cs="宋体"/>
                <w:kern w:val="0"/>
                <w:sz w:val="20"/>
                <w:szCs w:val="20"/>
                <w:lang w:val="en-US" w:eastAsia="zh-CN" w:bidi="ar"/>
              </w:rPr>
              <w:t>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rPr>
                <w:rFonts w:hint="eastAsia" w:cs="Calibri"/>
                <w:color w:val="auto"/>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959"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3.其他</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（七）总计</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jc w:val="both"/>
              <w:textAlignment w:val="auto"/>
            </w:pPr>
            <w:r>
              <w:rPr>
                <w:rFonts w:hint="eastAsia" w:ascii="宋体" w:hAnsi="宋体" w:eastAsia="宋体" w:cs="宋体"/>
                <w:kern w:val="0"/>
                <w:sz w:val="20"/>
                <w:szCs w:val="20"/>
                <w:lang w:val="en-US" w:eastAsia="zh-CN" w:bidi="ar"/>
              </w:rPr>
              <w:t>四、结转下年度继续办理</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leftChars="0" w:right="0" w:rightChars="0"/>
              <w:jc w:val="both"/>
              <w:textAlignment w:val="auto"/>
            </w:pPr>
            <w:r>
              <w:rPr>
                <w:rFonts w:hint="eastAsia" w:cs="Calibri"/>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r>
              <w:rPr>
                <w:rFonts w:hint="eastAsia" w:cs="Calibri"/>
                <w:color w:val="auto"/>
                <w:kern w:val="0"/>
                <w:sz w:val="20"/>
                <w:szCs w:val="20"/>
                <w:lang w:val="en-US" w:eastAsia="zh-CN" w:bidi="ar"/>
              </w:rPr>
              <w:t>0</w:t>
            </w:r>
          </w:p>
        </w:tc>
      </w:tr>
    </w:tbl>
    <w:p>
      <w:pPr>
        <w:keepNext w:val="0"/>
        <w:keepLines w:val="0"/>
        <w:pageBreakBefore w:val="0"/>
        <w:numPr>
          <w:ilvl w:val="0"/>
          <w:numId w:val="0"/>
        </w:numPr>
        <w:kinsoku/>
        <w:wordWrap/>
        <w:overflowPunct/>
        <w:topLinePunct w:val="0"/>
        <w:autoSpaceDN/>
        <w:bidi w:val="0"/>
        <w:spacing w:line="560" w:lineRule="exact"/>
        <w:ind w:firstLine="640" w:firstLineChars="200"/>
        <w:jc w:val="both"/>
        <w:textAlignment w:val="auto"/>
        <w:rPr>
          <w:rFonts w:hint="default"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四、</w:t>
      </w:r>
      <w:bookmarkStart w:id="2" w:name="OLE_LINK2"/>
      <w:r>
        <w:rPr>
          <w:rFonts w:hint="eastAsia" w:ascii="黑体" w:hAnsi="黑体" w:eastAsia="黑体" w:cs="黑体"/>
          <w:i w:val="0"/>
          <w:iCs w:val="0"/>
          <w:caps w:val="0"/>
          <w:color w:val="333333"/>
          <w:spacing w:val="0"/>
          <w:sz w:val="32"/>
          <w:szCs w:val="32"/>
          <w:shd w:val="clear" w:color="auto" w:fill="FFFFFF"/>
          <w:lang w:val="en-US" w:eastAsia="zh-CN"/>
        </w:rPr>
        <w:t>政府信息公开行政复议、行政诉讼情况</w:t>
      </w:r>
    </w:p>
    <w:bookmarkEnd w:id="2"/>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firstLine="0"/>
              <w:jc w:val="both"/>
              <w:textAlignment w:val="auto"/>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firstLine="0"/>
              <w:jc w:val="both"/>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firstLine="0"/>
              <w:jc w:val="both"/>
              <w:textAlignment w:val="auto"/>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firstLine="0"/>
              <w:jc w:val="both"/>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firstLine="0"/>
              <w:jc w:val="both"/>
              <w:textAlignment w:val="auto"/>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firstLine="0"/>
              <w:jc w:val="both"/>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firstLine="0"/>
              <w:jc w:val="both"/>
              <w:textAlignment w:val="auto"/>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firstLine="0"/>
              <w:jc w:val="both"/>
              <w:textAlignment w:val="auto"/>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firstLine="0"/>
              <w:jc w:val="both"/>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N/>
              <w:bidi w:val="0"/>
              <w:spacing w:line="560" w:lineRule="exact"/>
              <w:jc w:val="both"/>
              <w:textAlignment w:val="auto"/>
              <w:rPr>
                <w:rFonts w:hint="eastAsia" w:ascii="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firstLine="0"/>
              <w:jc w:val="both"/>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firstLine="0"/>
              <w:jc w:val="both"/>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firstLine="0"/>
              <w:jc w:val="both"/>
              <w:textAlignment w:val="auto"/>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firstLine="0"/>
              <w:jc w:val="both"/>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firstLine="0"/>
              <w:jc w:val="both"/>
              <w:textAlignment w:val="auto"/>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firstLine="0"/>
              <w:jc w:val="both"/>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firstLine="0"/>
              <w:jc w:val="both"/>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firstLine="0"/>
              <w:jc w:val="both"/>
              <w:textAlignment w:val="auto"/>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firstLine="0"/>
              <w:jc w:val="both"/>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Autospacing="0" w:line="560" w:lineRule="exact"/>
              <w:ind w:left="0" w:right="0" w:firstLine="0"/>
              <w:jc w:val="both"/>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both"/>
              <w:textAlignment w:val="auto"/>
            </w:pPr>
            <w:r>
              <w:rPr>
                <w:rFonts w:hint="eastAsia"/>
                <w:color w:val="auto"/>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both"/>
              <w:textAlignment w:val="auto"/>
            </w:pPr>
            <w:r>
              <w:rPr>
                <w:rFonts w:hint="eastAsia" w:cs="Calibri"/>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both"/>
              <w:textAlignment w:val="auto"/>
            </w:pPr>
            <w:r>
              <w:rPr>
                <w:rFonts w:hint="eastAsia" w:cs="Calibri"/>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both"/>
              <w:textAlignment w:val="auto"/>
              <w:rPr>
                <w:rFonts w:hint="eastAsia" w:eastAsia="宋体"/>
                <w:lang w:eastAsia="zh-CN"/>
              </w:rPr>
            </w:pPr>
            <w:r>
              <w:rPr>
                <w:rFonts w:hint="eastAsia" w:cs="Calibri"/>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both"/>
              <w:textAlignment w:val="auto"/>
            </w:pPr>
            <w:r>
              <w:rPr>
                <w:rFonts w:hint="eastAsia" w:cs="Calibri"/>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both"/>
              <w:textAlignment w:val="auto"/>
            </w:pPr>
            <w:r>
              <w:rPr>
                <w:rFonts w:hint="eastAsia" w:cs="Calibri"/>
                <w:color w:val="auto"/>
                <w:kern w:val="0"/>
                <w:sz w:val="20"/>
                <w:szCs w:val="20"/>
                <w:lang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both"/>
              <w:textAlignment w:val="auto"/>
            </w:pPr>
            <w:r>
              <w:rPr>
                <w:rFonts w:hint="eastAsia" w:cs="Calibri"/>
                <w:color w:val="auto"/>
                <w:kern w:val="0"/>
                <w:sz w:val="20"/>
                <w:szCs w:val="20"/>
                <w:lang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both"/>
              <w:textAlignment w:val="auto"/>
            </w:pPr>
            <w:r>
              <w:rPr>
                <w:rFonts w:cs="Calibri"/>
                <w:color w:val="auto"/>
                <w:kern w:val="0"/>
                <w:sz w:val="20"/>
                <w:szCs w:val="20"/>
                <w:lang w:bidi="ar"/>
              </w:rPr>
              <w:t> </w:t>
            </w:r>
            <w:r>
              <w:rPr>
                <w:rFonts w:hint="eastAsia" w:cs="Calibri"/>
                <w:color w:val="auto"/>
                <w:kern w:val="0"/>
                <w:sz w:val="20"/>
                <w:szCs w:val="20"/>
                <w:lang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both"/>
              <w:textAlignment w:val="auto"/>
            </w:pPr>
            <w:r>
              <w:rPr>
                <w:rFonts w:cs="Calibri"/>
                <w:color w:val="auto"/>
                <w:kern w:val="0"/>
                <w:sz w:val="20"/>
                <w:szCs w:val="20"/>
                <w:lang w:bidi="ar"/>
              </w:rPr>
              <w:t> </w:t>
            </w:r>
            <w:r>
              <w:rPr>
                <w:rFonts w:hint="eastAsia" w:cs="Calibri"/>
                <w:color w:val="auto"/>
                <w:kern w:val="0"/>
                <w:sz w:val="20"/>
                <w:szCs w:val="20"/>
                <w:lang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both"/>
              <w:textAlignment w:val="auto"/>
            </w:pPr>
            <w:r>
              <w:rPr>
                <w:rFonts w:hint="eastAsia" w:cs="Calibri"/>
                <w:color w:val="auto"/>
                <w:kern w:val="0"/>
                <w:sz w:val="20"/>
                <w:szCs w:val="20"/>
                <w:lang w:bidi="ar"/>
              </w:rPr>
              <w:t>0</w:t>
            </w:r>
            <w:r>
              <w:rPr>
                <w:rFonts w:cs="Calibri"/>
                <w:color w:val="auto"/>
                <w:kern w:val="0"/>
                <w:sz w:val="20"/>
                <w:szCs w:val="20"/>
                <w:lang w:bidi="ar"/>
              </w:rPr>
              <w:t>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both"/>
              <w:textAlignment w:val="auto"/>
            </w:pPr>
            <w:r>
              <w:rPr>
                <w:rFonts w:hint="eastAsia" w:cs="Calibri"/>
                <w:color w:val="auto"/>
                <w:kern w:val="0"/>
                <w:sz w:val="20"/>
                <w:szCs w:val="20"/>
                <w:lang w:bidi="ar"/>
              </w:rPr>
              <w:t>0</w:t>
            </w:r>
            <w:r>
              <w:rPr>
                <w:rFonts w:cs="Calibri"/>
                <w:color w:val="auto"/>
                <w:kern w:val="0"/>
                <w:sz w:val="20"/>
                <w:szCs w:val="20"/>
                <w:lang w:bidi="ar"/>
              </w:rPr>
              <w:t>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both"/>
              <w:textAlignment w:val="auto"/>
            </w:pPr>
            <w:r>
              <w:rPr>
                <w:rFonts w:cs="Calibri"/>
                <w:color w:val="auto"/>
                <w:kern w:val="0"/>
                <w:sz w:val="20"/>
                <w:szCs w:val="20"/>
                <w:lang w:bidi="ar"/>
              </w:rPr>
              <w:t> </w:t>
            </w:r>
            <w:r>
              <w:rPr>
                <w:rFonts w:hint="eastAsia" w:cs="Calibri"/>
                <w:color w:val="auto"/>
                <w:kern w:val="0"/>
                <w:sz w:val="20"/>
                <w:szCs w:val="20"/>
                <w:lang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both"/>
              <w:textAlignment w:val="auto"/>
            </w:pPr>
            <w:r>
              <w:rPr>
                <w:rFonts w:hint="eastAsia" w:cs="Calibri"/>
                <w:color w:val="auto"/>
                <w:kern w:val="0"/>
                <w:sz w:val="20"/>
                <w:szCs w:val="20"/>
                <w:lang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both"/>
              <w:textAlignment w:val="auto"/>
            </w:pPr>
            <w:r>
              <w:rPr>
                <w:rFonts w:hint="eastAsia" w:cs="Calibri"/>
                <w:color w:val="auto"/>
                <w:kern w:val="0"/>
                <w:sz w:val="20"/>
                <w:szCs w:val="20"/>
                <w:lang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N/>
              <w:bidi w:val="0"/>
              <w:spacing w:line="560" w:lineRule="exact"/>
              <w:jc w:val="both"/>
              <w:textAlignment w:val="auto"/>
              <w:rPr>
                <w:rFonts w:hint="eastAsia" w:ascii="宋体"/>
                <w:sz w:val="24"/>
                <w:szCs w:val="24"/>
              </w:rPr>
            </w:pPr>
            <w:r>
              <w:rPr>
                <w:rFonts w:hint="eastAsia" w:cs="Calibri"/>
                <w:color w:val="auto"/>
                <w:kern w:val="0"/>
                <w:sz w:val="20"/>
                <w:szCs w:val="20"/>
                <w:lang w:bidi="ar"/>
              </w:rPr>
              <w:t>0</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highlight w:val="none"/>
          <w:lang w:eastAsia="zh-CN"/>
        </w:rPr>
        <w:t>五、</w:t>
      </w:r>
      <w:r>
        <w:rPr>
          <w:rFonts w:hint="eastAsia" w:ascii="黑体" w:hAnsi="黑体" w:eastAsia="黑体" w:cs="黑体"/>
          <w:sz w:val="32"/>
          <w:szCs w:val="32"/>
          <w:lang w:val="en-US" w:eastAsia="zh-CN"/>
        </w:rPr>
        <w:t>存在的主要问题及改进情况</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（一）2023年问题整改情况</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仿宋_GB2312" w:hAnsi="仿宋_GB2312" w:eastAsia="仿宋_GB2312" w:cs="仿宋_GB2312"/>
          <w:b w:val="0"/>
          <w:bCs w:val="0"/>
          <w:color w:val="auto"/>
          <w:sz w:val="32"/>
          <w:szCs w:val="32"/>
          <w:shd w:val="clear" w:color="auto" w:fill="FFFFFF"/>
          <w:lang w:eastAsia="zh-CN"/>
        </w:rPr>
        <w:t>针对</w:t>
      </w:r>
      <w:r>
        <w:rPr>
          <w:rFonts w:hint="eastAsia" w:ascii="仿宋_GB2312" w:hAnsi="仿宋_GB2312" w:eastAsia="仿宋_GB2312" w:cs="仿宋_GB2312"/>
          <w:b w:val="0"/>
          <w:bCs w:val="0"/>
          <w:color w:val="auto"/>
          <w:sz w:val="32"/>
          <w:szCs w:val="32"/>
          <w:shd w:val="clear" w:color="auto" w:fill="FFFFFF"/>
          <w:lang w:val="en-US" w:eastAsia="zh-CN"/>
        </w:rPr>
        <w:t>2023年</w:t>
      </w:r>
      <w:r>
        <w:rPr>
          <w:rFonts w:hint="eastAsia" w:ascii="仿宋_GB2312" w:hAnsi="仿宋_GB2312" w:eastAsia="仿宋_GB2312" w:cs="仿宋_GB2312"/>
          <w:b w:val="0"/>
          <w:bCs w:val="0"/>
          <w:color w:val="auto"/>
          <w:sz w:val="32"/>
          <w:szCs w:val="32"/>
          <w:shd w:val="clear" w:color="auto" w:fill="FFFFFF"/>
          <w:lang w:eastAsia="zh-CN"/>
        </w:rPr>
        <w:t>政务信息公开的主动性有待加强的问题。街道政务信息公开更加主动，</w:t>
      </w:r>
      <w:r>
        <w:rPr>
          <w:rFonts w:hint="eastAsia" w:ascii="仿宋_GB2312" w:eastAsia="仿宋_GB2312" w:hAnsiTheme="minorHAnsi" w:cstheme="minorBidi"/>
          <w:color w:val="auto"/>
          <w:kern w:val="2"/>
          <w:sz w:val="32"/>
          <w:szCs w:val="32"/>
          <w:lang w:val="en-US" w:eastAsia="zh-CN" w:bidi="ar-SA"/>
        </w:rPr>
        <w:t>深化公开内容，规范公开程序，部分重要的政务信息</w:t>
      </w:r>
      <w:r>
        <w:rPr>
          <w:rFonts w:hint="eastAsia" w:ascii="仿宋_GB2312" w:hAnsi="仿宋_GB2312" w:eastAsia="仿宋_GB2312" w:cs="仿宋_GB2312"/>
          <w:b w:val="0"/>
          <w:bCs w:val="0"/>
          <w:color w:val="auto"/>
          <w:sz w:val="32"/>
          <w:szCs w:val="32"/>
          <w:shd w:val="clear" w:color="auto" w:fill="FFFFFF"/>
          <w:lang w:eastAsia="zh-CN"/>
        </w:rPr>
        <w:t>做到及时、有效更新，确保政务信息的时效性和公众的知情权。</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（二）2024年存在的主要问题及改进情况</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主要问题：</w:t>
      </w:r>
      <w:r>
        <w:rPr>
          <w:rFonts w:hint="eastAsia" w:ascii="仿宋_GB2312" w:hAnsi="仿宋_GB2312" w:eastAsia="仿宋_GB2312" w:cs="仿宋_GB2312"/>
          <w:b w:val="0"/>
          <w:bCs w:val="0"/>
          <w:sz w:val="32"/>
          <w:szCs w:val="32"/>
          <w:lang w:val="en-US" w:eastAsia="zh-CN"/>
        </w:rPr>
        <w:t>重点领域模块信息公开不全面、不及时。对于街道重点领域模块下的部分内容未能更加全面</w:t>
      </w:r>
      <w:r>
        <w:rPr>
          <w:rFonts w:hint="eastAsia" w:ascii="仿宋_GB2312" w:hAnsi="仿宋_GB2312" w:eastAsia="仿宋_GB2312" w:cs="仿宋_GB2312"/>
          <w:b w:val="0"/>
          <w:bCs w:val="0"/>
          <w:sz w:val="32"/>
          <w:szCs w:val="32"/>
          <w:highlight w:val="none"/>
          <w:lang w:val="en-US" w:eastAsia="zh-CN"/>
        </w:rPr>
        <w:t>的</w:t>
      </w:r>
      <w:r>
        <w:rPr>
          <w:rFonts w:hint="eastAsia" w:ascii="仿宋_GB2312" w:hAnsi="仿宋_GB2312" w:eastAsia="仿宋_GB2312" w:cs="仿宋_GB2312"/>
          <w:b w:val="0"/>
          <w:bCs w:val="0"/>
          <w:sz w:val="32"/>
          <w:szCs w:val="32"/>
          <w:lang w:val="en-US" w:eastAsia="zh-CN"/>
        </w:rPr>
        <w:t>公开，如安全生产领域作为重点工作之一，未能充分公开。</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改进情况：</w:t>
      </w:r>
      <w:r>
        <w:rPr>
          <w:rFonts w:hint="eastAsia" w:ascii="仿宋_GB2312" w:hAnsi="仿宋_GB2312" w:eastAsia="仿宋_GB2312" w:cs="仿宋_GB2312"/>
          <w:b w:val="0"/>
          <w:bCs w:val="0"/>
          <w:sz w:val="32"/>
          <w:szCs w:val="32"/>
          <w:lang w:val="en-US" w:eastAsia="zh-CN"/>
        </w:rPr>
        <w:t>确保公开内容更加全面，完善公开内容体系，加大对重点领域的信息公开力度，确保公众能够及时、</w:t>
      </w:r>
      <w:r>
        <w:rPr>
          <w:rFonts w:hint="eastAsia" w:ascii="仿宋_GB2312" w:hAnsi="仿宋_GB2312" w:eastAsia="仿宋_GB2312" w:cs="仿宋_GB2312"/>
          <w:b w:val="0"/>
          <w:bCs w:val="0"/>
          <w:sz w:val="32"/>
          <w:szCs w:val="32"/>
          <w:highlight w:val="none"/>
          <w:lang w:val="en-US" w:eastAsia="zh-CN"/>
        </w:rPr>
        <w:t>全面的</w:t>
      </w:r>
      <w:r>
        <w:rPr>
          <w:rFonts w:hint="eastAsia" w:ascii="仿宋_GB2312" w:hAnsi="仿宋_GB2312" w:eastAsia="仿宋_GB2312" w:cs="仿宋_GB2312"/>
          <w:b w:val="0"/>
          <w:bCs w:val="0"/>
          <w:sz w:val="32"/>
          <w:szCs w:val="32"/>
          <w:lang w:val="en-US" w:eastAsia="zh-CN"/>
        </w:rPr>
        <w:t>了解街道工作的进展和成效。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黑体" w:hAnsi="黑体" w:eastAsia="黑体" w:cs="黑体"/>
          <w:sz w:val="32"/>
          <w:szCs w:val="32"/>
          <w:lang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楷体_GB2312" w:hAnsi="楷体_GB2312" w:eastAsia="楷体_GB2312" w:cs="楷体_GB2312"/>
          <w:kern w:val="0"/>
          <w:sz w:val="32"/>
          <w:szCs w:val="32"/>
          <w:lang w:val="en-US" w:eastAsia="zh-CN" w:bidi="ar"/>
        </w:rPr>
        <w:t>（一）收取信息处理费的情况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本机关严格贯彻落实《国务院办公厅关于印发</w:t>
      </w:r>
      <w:r>
        <w:rPr>
          <w:rFonts w:hint="eastAsia" w:ascii="仿宋_GB2312" w:eastAsia="仿宋_GB2312"/>
          <w:sz w:val="32"/>
          <w:szCs w:val="32"/>
          <w:highlight w:val="none"/>
          <w:lang w:eastAsia="zh-CN"/>
        </w:rPr>
        <w:t>&lt;</w:t>
      </w:r>
      <w:r>
        <w:rPr>
          <w:rFonts w:hint="eastAsia" w:ascii="仿宋_GB2312" w:eastAsia="仿宋_GB2312"/>
          <w:sz w:val="32"/>
          <w:szCs w:val="32"/>
          <w:lang w:eastAsia="zh-CN"/>
        </w:rPr>
        <w:t>政府信息公开信息处理费管理办法</w:t>
      </w:r>
      <w:r>
        <w:rPr>
          <w:rFonts w:hint="eastAsia" w:ascii="仿宋_GB2312" w:eastAsia="仿宋_GB2312"/>
          <w:sz w:val="32"/>
          <w:szCs w:val="32"/>
          <w:highlight w:val="none"/>
          <w:lang w:eastAsia="zh-CN"/>
        </w:rPr>
        <w:t>&gt;</w:t>
      </w:r>
      <w:r>
        <w:rPr>
          <w:rFonts w:hint="eastAsia" w:ascii="仿宋_GB2312" w:eastAsia="仿宋_GB2312"/>
          <w:sz w:val="32"/>
          <w:szCs w:val="32"/>
          <w:lang w:eastAsia="zh-CN"/>
        </w:rPr>
        <w:t>的通知》（国办函〔2020〕109号）和《山东省人民政府办公厅关于做好政府信息公开信息处理费管理工作有关事项的通知》（鲁政办字〔2020〕179号）要求，202</w:t>
      </w:r>
      <w:r>
        <w:rPr>
          <w:rFonts w:hint="eastAsia" w:ascii="仿宋_GB2312" w:eastAsia="仿宋_GB2312"/>
          <w:sz w:val="32"/>
          <w:szCs w:val="32"/>
          <w:lang w:val="en-US" w:eastAsia="zh-CN"/>
        </w:rPr>
        <w:t>4</w:t>
      </w:r>
      <w:r>
        <w:rPr>
          <w:rFonts w:hint="eastAsia" w:ascii="仿宋_GB2312" w:eastAsia="仿宋_GB2312"/>
          <w:sz w:val="32"/>
          <w:szCs w:val="32"/>
          <w:lang w:eastAsia="zh-CN"/>
        </w:rPr>
        <w:t>年度未收取政府信息公开信息处理费，包括：检索费、复制费（含案卷材料复制费）、邮寄费。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（二）落实安丘市2024年度政务公开工作要点情况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根据上级政务公开工作要求，制定印发了《新安街道试点领域政务公开事项标准目录</w:t>
      </w:r>
      <w:r>
        <w:rPr>
          <w:rFonts w:hint="eastAsia" w:ascii="仿宋_GB2312" w:hAnsi="仿宋_GB2312" w:eastAsia="仿宋_GB2312" w:cs="仿宋_GB2312"/>
          <w:kern w:val="0"/>
          <w:sz w:val="32"/>
          <w:szCs w:val="32"/>
          <w:highlight w:val="none"/>
          <w:lang w:val="en-US" w:eastAsia="zh-CN" w:bidi="ar"/>
        </w:rPr>
        <w:t>》《</w:t>
      </w:r>
      <w:r>
        <w:rPr>
          <w:rFonts w:hint="eastAsia" w:ascii="仿宋_GB2312" w:hAnsi="仿宋_GB2312" w:eastAsia="仿宋_GB2312" w:cs="仿宋_GB2312"/>
          <w:kern w:val="0"/>
          <w:sz w:val="32"/>
          <w:szCs w:val="32"/>
          <w:lang w:val="en-US" w:eastAsia="zh-CN" w:bidi="ar"/>
        </w:rPr>
        <w:t>安丘市新安街道办事处关于调整</w:t>
      </w:r>
      <w:bookmarkStart w:id="3" w:name="OLE_LINK4"/>
      <w:r>
        <w:rPr>
          <w:rFonts w:hint="eastAsia" w:ascii="仿宋_GB2312" w:hAnsi="仿宋_GB2312" w:eastAsia="仿宋_GB2312" w:cs="仿宋_GB2312"/>
          <w:kern w:val="0"/>
          <w:sz w:val="32"/>
          <w:szCs w:val="32"/>
          <w:lang w:val="en-US" w:eastAsia="zh-CN" w:bidi="ar"/>
        </w:rPr>
        <w:t>政务公开工作领导小组</w:t>
      </w:r>
      <w:bookmarkEnd w:id="3"/>
      <w:r>
        <w:rPr>
          <w:rFonts w:hint="eastAsia" w:ascii="仿宋_GB2312" w:hAnsi="仿宋_GB2312" w:eastAsia="仿宋_GB2312" w:cs="仿宋_GB2312"/>
          <w:kern w:val="0"/>
          <w:sz w:val="32"/>
          <w:szCs w:val="32"/>
          <w:lang w:val="en-US" w:eastAsia="zh-CN" w:bidi="ar"/>
        </w:rPr>
        <w:t>的通知》，及时调整政务公开小组成员名单，加强对重点领域工作的重视程度。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（三）人大代表建议和政协委员提案办理结果公开情况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kern w:val="0"/>
          <w:sz w:val="32"/>
          <w:szCs w:val="32"/>
          <w:lang w:val="en-US" w:eastAsia="zh-CN" w:bidi="ar"/>
        </w:rPr>
        <w:t>2024年度，我街道未承办政协委员提案，与2023年承办0件相比无变化。未承办人大建议，</w:t>
      </w:r>
      <w:r>
        <w:rPr>
          <w:rFonts w:hint="eastAsia" w:ascii="仿宋_GB2312" w:hAnsi="仿宋_GB2312" w:eastAsia="仿宋_GB2312" w:cs="仿宋_GB2312"/>
          <w:color w:val="auto"/>
          <w:sz w:val="32"/>
          <w:szCs w:val="32"/>
        </w:rPr>
        <w:t>与202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年相比无变化。</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color w:val="auto"/>
          <w:sz w:val="32"/>
          <w:szCs w:val="32"/>
          <w:lang w:eastAsia="zh-CN"/>
        </w:rPr>
        <w:t>（四）</w:t>
      </w:r>
      <w:bookmarkStart w:id="4" w:name="OLE_LINK3"/>
      <w:r>
        <w:rPr>
          <w:rFonts w:hint="eastAsia" w:ascii="楷体_GB2312" w:hAnsi="楷体_GB2312" w:eastAsia="楷体_GB2312" w:cs="楷体_GB2312"/>
          <w:kern w:val="0"/>
          <w:sz w:val="32"/>
          <w:szCs w:val="32"/>
          <w:lang w:val="en-US" w:eastAsia="zh-CN" w:bidi="ar"/>
        </w:rPr>
        <w:t>安丘市新安街道办事处2024年度政务公开工作创新情况</w:t>
      </w:r>
    </w:p>
    <w:bookmarkEnd w:id="4"/>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强化领导责任公开，建立政务公开工作领导小组，完善民意汇集机制，聚焦群众和企业需求，强化安全检查，始终把重点行业领域的安全监管作为安全生产的重点工作，调整机构编制，设置5个党政工作机构、4个事业单位，以公开促服务、以服务强公开，提升政府工作的透明度和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（五）安丘市新安街道办事处2024年度政府信息公开工作年度报告数据统计需要说明的事项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本年度报告中所列各项数据的统计期限自2024年1月1日至2024年12月31日。本年度报告的电子版可在安丘市人民政府门户网站（http://www.anqiu.gov.cn</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下载。如对本报告有任何疑问，请与</w:t>
      </w:r>
      <w:r>
        <w:rPr>
          <w:rFonts w:hint="eastAsia" w:ascii="仿宋_GB2312" w:hAnsi="仿宋_GB2312" w:eastAsia="仿宋_GB2312" w:cs="仿宋_GB2312"/>
          <w:color w:val="auto"/>
          <w:sz w:val="32"/>
          <w:szCs w:val="32"/>
          <w:shd w:val="clear" w:color="auto" w:fill="FFFFFF"/>
          <w:lang w:eastAsia="zh-CN"/>
        </w:rPr>
        <w:t>安丘市新安街道办事处</w:t>
      </w:r>
      <w:r>
        <w:rPr>
          <w:rFonts w:hint="eastAsia" w:ascii="仿宋_GB2312" w:hAnsi="仿宋_GB2312" w:eastAsia="仿宋_GB2312" w:cs="仿宋_GB2312"/>
          <w:sz w:val="32"/>
          <w:szCs w:val="32"/>
          <w:lang w:val="en-US" w:eastAsia="zh-CN"/>
        </w:rPr>
        <w:t>联系（地址：</w:t>
      </w:r>
      <w:r>
        <w:rPr>
          <w:rFonts w:hint="eastAsia" w:ascii="仿宋_GB2312" w:hAnsi="仿宋_GB2312" w:eastAsia="仿宋_GB2312" w:cs="仿宋_GB2312"/>
          <w:color w:val="auto"/>
          <w:sz w:val="32"/>
          <w:szCs w:val="32"/>
          <w:shd w:val="clear" w:color="auto" w:fill="FFFFFF"/>
        </w:rPr>
        <w:t>山东省安丘市</w:t>
      </w:r>
      <w:r>
        <w:rPr>
          <w:rFonts w:hint="eastAsia" w:ascii="仿宋_GB2312" w:hAnsi="仿宋_GB2312" w:eastAsia="仿宋_GB2312" w:cs="仿宋_GB2312"/>
          <w:color w:val="auto"/>
          <w:sz w:val="32"/>
          <w:szCs w:val="32"/>
          <w:shd w:val="clear" w:color="auto" w:fill="FFFFFF"/>
          <w:lang w:eastAsia="zh-CN"/>
        </w:rPr>
        <w:t>莲花山西路</w:t>
      </w:r>
      <w:r>
        <w:rPr>
          <w:rFonts w:hint="eastAsia" w:ascii="仿宋_GB2312" w:hAnsi="仿宋_GB2312" w:eastAsia="仿宋_GB2312" w:cs="仿宋_GB2312"/>
          <w:color w:val="auto"/>
          <w:sz w:val="32"/>
          <w:szCs w:val="32"/>
          <w:shd w:val="clear" w:color="auto" w:fill="FFFFFF"/>
          <w:lang w:val="en-US" w:eastAsia="zh-CN"/>
        </w:rPr>
        <w:t>77号新安街道办事处办公楼1楼</w:t>
      </w:r>
      <w:r>
        <w:rPr>
          <w:rFonts w:hint="eastAsia" w:ascii="仿宋_GB2312" w:hAnsi="仿宋_GB2312" w:eastAsia="仿宋_GB2312" w:cs="仿宋_GB2312"/>
          <w:color w:val="auto"/>
          <w:sz w:val="32"/>
          <w:szCs w:val="32"/>
          <w:highlight w:val="none"/>
          <w:shd w:val="clear" w:color="auto" w:fill="FFFFFF"/>
          <w:lang w:val="en-US" w:eastAsia="zh-CN"/>
        </w:rPr>
        <w:t>112</w:t>
      </w:r>
      <w:r>
        <w:rPr>
          <w:rFonts w:hint="eastAsia" w:ascii="仿宋_GB2312" w:hAnsi="仿宋_GB2312" w:eastAsia="仿宋_GB2312" w:cs="仿宋_GB2312"/>
          <w:sz w:val="32"/>
          <w:szCs w:val="32"/>
          <w:lang w:val="en-US" w:eastAsia="zh-CN"/>
        </w:rPr>
        <w:t>，邮编：262100，电话：</w:t>
      </w:r>
      <w:r>
        <w:rPr>
          <w:rFonts w:hint="eastAsia" w:ascii="仿宋_GB2312" w:hAnsi="仿宋_GB2312" w:eastAsia="仿宋_GB2312" w:cs="仿宋_GB2312"/>
          <w:color w:val="auto"/>
          <w:sz w:val="32"/>
          <w:szCs w:val="32"/>
          <w:shd w:val="clear" w:color="auto" w:fill="FFFFFF"/>
        </w:rPr>
        <w:t>0536-</w:t>
      </w:r>
      <w:r>
        <w:rPr>
          <w:rFonts w:hint="eastAsia" w:ascii="仿宋_GB2312" w:hAnsi="仿宋_GB2312" w:eastAsia="仿宋_GB2312" w:cs="仿宋_GB2312"/>
          <w:color w:val="auto"/>
          <w:sz w:val="32"/>
          <w:szCs w:val="32"/>
          <w:shd w:val="clear" w:color="auto" w:fill="FFFFFF"/>
          <w:lang w:val="en-US" w:eastAsia="zh-CN"/>
        </w:rPr>
        <w:t>4730001</w:t>
      </w:r>
      <w:r>
        <w:rPr>
          <w:rFonts w:hint="eastAsia" w:ascii="仿宋_GB2312" w:hAnsi="仿宋_GB2312" w:eastAsia="仿宋_GB2312" w:cs="仿宋_GB2312"/>
          <w:color w:val="auto"/>
          <w:sz w:val="32"/>
          <w:szCs w:val="32"/>
          <w:shd w:val="clear" w:color="auto" w:fill="FFFFFF"/>
        </w:rPr>
        <w:t>，传真：0536-</w:t>
      </w:r>
      <w:r>
        <w:rPr>
          <w:rFonts w:hint="eastAsia" w:ascii="仿宋_GB2312" w:hAnsi="仿宋_GB2312" w:eastAsia="仿宋_GB2312" w:cs="仿宋_GB2312"/>
          <w:color w:val="auto"/>
          <w:sz w:val="32"/>
          <w:szCs w:val="32"/>
          <w:shd w:val="clear" w:color="auto" w:fill="FFFFFF"/>
          <w:lang w:val="en-US" w:eastAsia="zh-CN"/>
        </w:rPr>
        <w:t>4730191</w:t>
      </w:r>
      <w:r>
        <w:rPr>
          <w:rFonts w:hint="eastAsia" w:ascii="仿宋_GB2312" w:hAnsi="仿宋_GB2312" w:eastAsia="仿宋_GB2312" w:cs="仿宋_GB2312"/>
          <w:sz w:val="32"/>
          <w:szCs w:val="32"/>
          <w:lang w:val="en-US" w:eastAsia="zh-CN"/>
        </w:rPr>
        <w:t>，电子邮箱：</w:t>
      </w:r>
      <w:r>
        <w:rPr>
          <w:rFonts w:hint="eastAsia" w:ascii="仿宋_GB2312" w:hAnsi="仿宋_GB2312" w:eastAsia="仿宋_GB2312" w:cs="仿宋_GB2312"/>
          <w:color w:val="auto"/>
          <w:sz w:val="32"/>
          <w:szCs w:val="32"/>
        </w:rPr>
        <w:t>aqxadzb@wf.shandong.cn</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kern w:val="0"/>
          <w:sz w:val="32"/>
          <w:szCs w:val="32"/>
          <w:lang w:val="en-US" w:eastAsia="zh-CN" w:bidi="ar"/>
        </w:rPr>
        <w:t>安丘市新安街道办事处</w:t>
      </w:r>
      <w:r>
        <w:rPr>
          <w:rFonts w:hint="eastAsia" w:ascii="楷体_GB2312" w:hAnsi="楷体_GB2312" w:eastAsia="楷体_GB2312" w:cs="楷体_GB2312"/>
          <w:sz w:val="32"/>
          <w:szCs w:val="32"/>
          <w:lang w:val="en-US" w:eastAsia="zh-CN"/>
        </w:rPr>
        <w:t>2024年度没有其他需要报告的事项。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kern w:val="0"/>
          <w:sz w:val="32"/>
          <w:szCs w:val="32"/>
          <w:lang w:val="en-US" w:eastAsia="zh-CN" w:bidi="ar"/>
        </w:rPr>
        <w:t>安丘市新安街道办事处</w:t>
      </w:r>
      <w:r>
        <w:rPr>
          <w:rFonts w:hint="eastAsia" w:ascii="楷体_GB2312" w:hAnsi="楷体_GB2312" w:eastAsia="楷体_GB2312" w:cs="楷体_GB2312"/>
          <w:sz w:val="32"/>
          <w:szCs w:val="32"/>
          <w:lang w:val="en-US" w:eastAsia="zh-CN"/>
        </w:rPr>
        <w:t>本年度没有其他有关文件专门要求通过政府信息公开工作年度报告予以报告的事项。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rPr>
          <w:rFonts w:hint="eastAsia" w:ascii="仿宋_GB2312" w:hAnsi="Calibri" w:eastAsia="仿宋_GB2312" w:cs="Times New Roman"/>
          <w:color w:val="auto"/>
          <w:kern w:val="0"/>
          <w:sz w:val="32"/>
          <w:szCs w:val="32"/>
          <w:lang w:val="en-US" w:eastAsia="zh-CN" w:bidi="ar"/>
        </w:rPr>
      </w:pPr>
      <w:r>
        <w:rPr>
          <w:rFonts w:hint="eastAsia" w:ascii="仿宋_GB2312" w:hAnsi="Calibri" w:eastAsia="仿宋_GB2312" w:cs="Times New Roman"/>
          <w:color w:val="auto"/>
          <w:kern w:val="0"/>
          <w:sz w:val="32"/>
          <w:szCs w:val="32"/>
          <w:lang w:val="en-US" w:eastAsia="zh-CN" w:bidi="ar"/>
        </w:rPr>
        <w:t>安丘市新安街道办事处</w:t>
      </w:r>
    </w:p>
    <w:p>
      <w:pPr>
        <w:pStyle w:val="2"/>
        <w:keepNext w:val="0"/>
        <w:keepLines w:val="0"/>
        <w:pageBreakBefore w:val="0"/>
        <w:kinsoku/>
        <w:wordWrap/>
        <w:overflowPunct/>
        <w:topLinePunct w:val="0"/>
        <w:autoSpaceDN/>
        <w:bidi w:val="0"/>
        <w:spacing w:line="560" w:lineRule="exact"/>
        <w:jc w:val="right"/>
        <w:textAlignment w:val="auto"/>
        <w:rPr>
          <w:rFonts w:hint="eastAsia"/>
          <w:lang w:val="en-US" w:eastAsia="zh-CN"/>
        </w:rPr>
      </w:pPr>
      <w:r>
        <w:rPr>
          <w:rFonts w:hint="eastAsia" w:ascii="仿宋_GB2312" w:hAnsi="Calibri" w:eastAsia="仿宋_GB2312" w:cs="Times New Roman"/>
          <w:color w:val="auto"/>
          <w:kern w:val="0"/>
          <w:sz w:val="32"/>
          <w:szCs w:val="32"/>
          <w:lang w:val="en-US" w:eastAsia="zh-CN" w:bidi="ar"/>
        </w:rPr>
        <w:t>202</w:t>
      </w:r>
      <w:r>
        <w:rPr>
          <w:rFonts w:hint="eastAsia" w:ascii="仿宋_GB2312" w:eastAsia="仿宋_GB2312" w:cs="Times New Roman"/>
          <w:color w:val="auto"/>
          <w:kern w:val="0"/>
          <w:sz w:val="32"/>
          <w:szCs w:val="32"/>
          <w:lang w:val="en-US" w:eastAsia="zh-CN" w:bidi="ar"/>
        </w:rPr>
        <w:t>5</w:t>
      </w:r>
      <w:r>
        <w:rPr>
          <w:rFonts w:hint="eastAsia" w:ascii="仿宋_GB2312" w:hAnsi="Calibri" w:eastAsia="仿宋_GB2312" w:cs="Times New Roman"/>
          <w:color w:val="auto"/>
          <w:kern w:val="0"/>
          <w:sz w:val="32"/>
          <w:szCs w:val="32"/>
          <w:lang w:val="en-US" w:eastAsia="zh-CN" w:bidi="ar"/>
        </w:rPr>
        <w:t>年1月</w:t>
      </w:r>
      <w:r>
        <w:rPr>
          <w:rFonts w:hint="eastAsia" w:ascii="仿宋_GB2312" w:eastAsia="仿宋_GB2312" w:cs="Times New Roman"/>
          <w:color w:val="auto"/>
          <w:kern w:val="0"/>
          <w:sz w:val="32"/>
          <w:szCs w:val="32"/>
          <w:lang w:val="en-US" w:eastAsia="zh-CN" w:bidi="ar"/>
        </w:rPr>
        <w:t>8</w:t>
      </w:r>
      <w:r>
        <w:rPr>
          <w:rFonts w:hint="eastAsia" w:ascii="仿宋_GB2312" w:hAnsi="Calibri" w:eastAsia="仿宋_GB2312" w:cs="Times New Roman"/>
          <w:color w:val="auto"/>
          <w:kern w:val="0"/>
          <w:sz w:val="32"/>
          <w:szCs w:val="32"/>
          <w:lang w:val="en-US" w:eastAsia="zh-CN" w:bidi="ar"/>
        </w:rPr>
        <w:t>日</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default" w:ascii="仿宋_GB2312" w:hAnsi="仿宋_GB2312" w:eastAsia="仿宋_GB2312" w:cs="仿宋_GB2312"/>
          <w:b w:val="0"/>
          <w:bCs w:val="0"/>
          <w:sz w:val="32"/>
          <w:szCs w:val="32"/>
          <w:lang w:val="en-US" w:eastAsia="zh-CN"/>
        </w:rPr>
      </w:pPr>
    </w:p>
    <w:p>
      <w:pPr>
        <w:pStyle w:val="2"/>
        <w:rPr>
          <w:rFonts w:hint="eastAsia"/>
          <w:lang w:eastAsia="zh-CN"/>
        </w:rPr>
      </w:pPr>
    </w:p>
    <w:sectPr>
      <w:pgSz w:w="11906" w:h="16838"/>
      <w:pgMar w:top="2154" w:right="1474"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B64DD"/>
    <w:rsid w:val="06340CA6"/>
    <w:rsid w:val="0AA3574B"/>
    <w:rsid w:val="0B427822"/>
    <w:rsid w:val="0B895034"/>
    <w:rsid w:val="0BE84B6F"/>
    <w:rsid w:val="0E2E0233"/>
    <w:rsid w:val="13A24662"/>
    <w:rsid w:val="14510973"/>
    <w:rsid w:val="14793147"/>
    <w:rsid w:val="177D04FD"/>
    <w:rsid w:val="1B47396E"/>
    <w:rsid w:val="1B670550"/>
    <w:rsid w:val="1CCF3779"/>
    <w:rsid w:val="1D513C28"/>
    <w:rsid w:val="1ECC60D5"/>
    <w:rsid w:val="1FA12AE7"/>
    <w:rsid w:val="1FC065C8"/>
    <w:rsid w:val="1FDC564F"/>
    <w:rsid w:val="20584EA2"/>
    <w:rsid w:val="22AB6150"/>
    <w:rsid w:val="248C43DE"/>
    <w:rsid w:val="24F16378"/>
    <w:rsid w:val="26B70923"/>
    <w:rsid w:val="28E94D7E"/>
    <w:rsid w:val="2FBA31AA"/>
    <w:rsid w:val="30160575"/>
    <w:rsid w:val="32660678"/>
    <w:rsid w:val="329F40C7"/>
    <w:rsid w:val="32C12878"/>
    <w:rsid w:val="333E4707"/>
    <w:rsid w:val="338B1A9D"/>
    <w:rsid w:val="35606C03"/>
    <w:rsid w:val="35C81681"/>
    <w:rsid w:val="35EB1A2B"/>
    <w:rsid w:val="36AE34F0"/>
    <w:rsid w:val="377B5014"/>
    <w:rsid w:val="39224889"/>
    <w:rsid w:val="3A9161C4"/>
    <w:rsid w:val="3AD10539"/>
    <w:rsid w:val="3C7B7E4E"/>
    <w:rsid w:val="40521B85"/>
    <w:rsid w:val="42037A59"/>
    <w:rsid w:val="433F26AC"/>
    <w:rsid w:val="43AC24B8"/>
    <w:rsid w:val="440C6701"/>
    <w:rsid w:val="45281A3E"/>
    <w:rsid w:val="45BD2E78"/>
    <w:rsid w:val="46122D18"/>
    <w:rsid w:val="48A116ED"/>
    <w:rsid w:val="4BF435BD"/>
    <w:rsid w:val="4EA93CA3"/>
    <w:rsid w:val="5274715E"/>
    <w:rsid w:val="54C206C2"/>
    <w:rsid w:val="5595195D"/>
    <w:rsid w:val="56777193"/>
    <w:rsid w:val="59C7746F"/>
    <w:rsid w:val="5A386788"/>
    <w:rsid w:val="5B885C6F"/>
    <w:rsid w:val="5D335C2A"/>
    <w:rsid w:val="5E7B5503"/>
    <w:rsid w:val="5EFC7E86"/>
    <w:rsid w:val="60005B19"/>
    <w:rsid w:val="627C7F9D"/>
    <w:rsid w:val="64390B1C"/>
    <w:rsid w:val="661132A9"/>
    <w:rsid w:val="671A1DE0"/>
    <w:rsid w:val="6A1D620F"/>
    <w:rsid w:val="6BAB45BE"/>
    <w:rsid w:val="6DD661E0"/>
    <w:rsid w:val="70642883"/>
    <w:rsid w:val="722E394A"/>
    <w:rsid w:val="74E712B6"/>
    <w:rsid w:val="76CF7ACB"/>
    <w:rsid w:val="78510CB5"/>
    <w:rsid w:val="78F61DDD"/>
    <w:rsid w:val="7AA446BB"/>
    <w:rsid w:val="7B8C3096"/>
    <w:rsid w:val="7FF85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9">
    <w:name w:val="普通(网站) Char"/>
    <w:basedOn w:val="1"/>
    <w:qFormat/>
    <w:uiPriority w:val="0"/>
    <w:pPr>
      <w:keepNext w:val="0"/>
      <w:keepLines w:val="0"/>
      <w:widowControl w:val="0"/>
      <w:suppressLineNumbers w:val="0"/>
      <w:spacing w:before="100" w:beforeAutospacing="1" w:after="10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3297</Words>
  <Characters>3472</Characters>
  <Lines>0</Lines>
  <Paragraphs>0</Paragraphs>
  <TotalTime>24</TotalTime>
  <ScaleCrop>false</ScaleCrop>
  <LinksUpToDate>false</LinksUpToDate>
  <CharactersWithSpaces>3479</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2025-01-07T07:20:00Z</dcterms:created>
  <dc:creator>YJS03</dc:creator>
  <cp:lastModifiedBy>柒柒.</cp:lastModifiedBy>
  <dcterms:modified xsi:type="dcterms:W3CDTF">2025-01-14T08:35:54Z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KSOTemplateDocerSaveRecord">
    <vt:lpwstr>eyJoZGlkIjoiNGJkZmMzNzQzODgzMGY0MjVlYjRhY2I2MmY4N2M3NDciLCJ1c2VySWQiOiI0NzczNjE0NDkifQ==</vt:lpwstr>
  </property>
  <property fmtid="{D5CDD505-2E9C-101B-9397-08002B2CF9AE}" pid="4" name="ICV">
    <vt:lpwstr>A4A25BDA061240F2A20EEC3CB01AE5E3_12</vt:lpwstr>
  </property>
</Properties>
</file>