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0" w:after="100" w:afterAutospacing="0" w:line="480" w:lineRule="atLeast"/>
        <w:ind w:left="0" w:right="0" w:firstLine="480"/>
        <w:jc w:val="center"/>
        <w:rPr>
          <w:rFonts w:hint="eastAsia" w:ascii="宋体" w:hAnsi="宋体" w:eastAsia="宋体" w:cs="宋体"/>
          <w:i w:val="0"/>
          <w:caps w:val="0"/>
          <w:color w:val="333333"/>
          <w:spacing w:val="0"/>
          <w:kern w:val="0"/>
          <w:sz w:val="44"/>
          <w:szCs w:val="44"/>
          <w:shd w:val="clear" w:fill="FFFFFF"/>
          <w:lang w:val="en-US" w:eastAsia="zh-CN" w:bidi="ar"/>
        </w:rPr>
      </w:pPr>
      <w:r>
        <w:rPr>
          <w:rFonts w:hint="eastAsia" w:ascii="宋体" w:hAnsi="宋体" w:eastAsia="宋体" w:cs="宋体"/>
          <w:i w:val="0"/>
          <w:caps w:val="0"/>
          <w:color w:val="333333"/>
          <w:spacing w:val="0"/>
          <w:kern w:val="0"/>
          <w:sz w:val="44"/>
          <w:szCs w:val="44"/>
          <w:shd w:val="clear" w:fill="FFFFFF"/>
          <w:lang w:val="en-US" w:eastAsia="zh-CN" w:bidi="ar"/>
        </w:rPr>
        <w:t>安丘市自然资源和规划局</w:t>
      </w:r>
    </w:p>
    <w:p>
      <w:pPr>
        <w:keepNext w:val="0"/>
        <w:keepLines w:val="0"/>
        <w:widowControl/>
        <w:suppressLineNumbers w:val="0"/>
        <w:spacing w:before="100" w:beforeAutospacing="0" w:after="100" w:afterAutospacing="0" w:line="480" w:lineRule="atLeast"/>
        <w:ind w:left="0" w:right="0" w:firstLine="480"/>
        <w:jc w:val="center"/>
        <w:rPr>
          <w:rFonts w:hint="eastAsia" w:ascii="宋体" w:hAnsi="宋体" w:eastAsia="宋体" w:cs="宋体"/>
          <w:i w:val="0"/>
          <w:caps w:val="0"/>
          <w:color w:val="333333"/>
          <w:spacing w:val="0"/>
          <w:kern w:val="0"/>
          <w:sz w:val="44"/>
          <w:szCs w:val="44"/>
          <w:shd w:val="clear" w:fill="FFFFFF"/>
          <w:lang w:val="en-US" w:eastAsia="zh-CN" w:bidi="ar"/>
        </w:rPr>
      </w:pPr>
      <w:r>
        <w:rPr>
          <w:rFonts w:hint="eastAsia" w:ascii="宋体" w:hAnsi="宋体" w:eastAsia="宋体" w:cs="宋体"/>
          <w:i w:val="0"/>
          <w:caps w:val="0"/>
          <w:color w:val="333333"/>
          <w:spacing w:val="0"/>
          <w:kern w:val="0"/>
          <w:sz w:val="44"/>
          <w:szCs w:val="44"/>
          <w:shd w:val="clear" w:fill="FFFFFF"/>
          <w:lang w:val="en-US" w:eastAsia="zh-CN" w:bidi="ar"/>
        </w:rPr>
        <w:t>2019年度政府信息公开工作年度报告</w:t>
      </w:r>
    </w:p>
    <w:p>
      <w:pPr>
        <w:keepNext w:val="0"/>
        <w:keepLines w:val="0"/>
        <w:widowControl/>
        <w:suppressLineNumbers w:val="0"/>
        <w:spacing w:before="100" w:beforeAutospacing="0" w:after="100" w:afterAutospacing="0" w:line="480" w:lineRule="atLeast"/>
        <w:ind w:left="0" w:right="0" w:firstLine="48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wordWrap w:val="0"/>
        <w:spacing w:before="100" w:beforeAutospacing="0" w:after="100" w:afterAutospacing="0" w:line="480" w:lineRule="atLeast"/>
        <w:ind w:left="0" w:right="0"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根据《中华人民共和国政府信息公开条例》、《山东省政府信息公开办法》和安丘市人民政府办公室关于做好2019年政府信息公开工作年度报告编制和发布工作的通知要求，特编制2019年安丘市自然资源和规划局政府信息公开工作年度报告。本报告由总体情况、主动公开政府信息情况、收到和处理政府信息公开申请情况、政府信息公开行政复议、行政诉讼情况、存在的主要问题及改进情况、其他需要报告的事项等六个部分组成。本报告中所列数据的统计期限自2019年1月1日起至2019年12月31日止。</w:t>
      </w:r>
    </w:p>
    <w:p>
      <w:pPr>
        <w:keepNext w:val="0"/>
        <w:keepLines w:val="0"/>
        <w:widowControl/>
        <w:suppressLineNumbers w:val="0"/>
        <w:wordWrap w:val="0"/>
        <w:spacing w:before="100" w:beforeAutospacing="0" w:after="100" w:afterAutospacing="0" w:line="480" w:lineRule="atLeast"/>
        <w:ind w:left="0" w:right="0"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本报告电子版可在安丘市人民政府门户网站政府信息公开专栏(http://xxgk.anqiu.gov.cn)查看或下载。如对本报告有任何疑问，请与安丘市自然资源和规划局联系(地址：安丘市青云大街627号，邮编：262100，电话：0536-4395801，邮箱：</w:t>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"mailto:aqsgtzyj@wf.shandong.cn" </w:instrText>
      </w:r>
      <w:r>
        <w:rPr>
          <w:rFonts w:hint="eastAsia" w:ascii="仿宋_GB2312" w:hAnsi="仿宋_GB2312" w:eastAsia="仿宋_GB2312" w:cs="仿宋_GB2312"/>
          <w:kern w:val="0"/>
          <w:sz w:val="32"/>
          <w:szCs w:val="32"/>
          <w:lang w:val="en-US" w:eastAsia="zh-CN" w:bidi="ar"/>
        </w:rPr>
        <w:fldChar w:fldCharType="separate"/>
      </w:r>
      <w:r>
        <w:rPr>
          <w:rStyle w:val="5"/>
          <w:rFonts w:hint="eastAsia" w:ascii="仿宋_GB2312" w:hAnsi="仿宋_GB2312" w:eastAsia="仿宋_GB2312" w:cs="仿宋_GB2312"/>
          <w:color w:val="0000FF"/>
          <w:sz w:val="32"/>
          <w:szCs w:val="32"/>
          <w:u w:val="single"/>
        </w:rPr>
        <w:t>aqsgtzyj@wf.shandong.cn</w:t>
      </w:r>
      <w:r>
        <w:rPr>
          <w:rFonts w:hint="eastAsia" w:ascii="仿宋_GB2312" w:hAnsi="仿宋_GB2312" w:eastAsia="仿宋_GB2312" w:cs="仿宋_GB2312"/>
          <w:kern w:val="0"/>
          <w:sz w:val="32"/>
          <w:szCs w:val="32"/>
          <w:lang w:val="en-US" w:eastAsia="zh-CN" w:bidi="ar"/>
        </w:rPr>
        <w:fldChar w:fldCharType="end"/>
      </w:r>
      <w:r>
        <w:rPr>
          <w:rFonts w:hint="eastAsia" w:ascii="仿宋_GB2312" w:hAnsi="仿宋_GB2312" w:eastAsia="仿宋_GB2312" w:cs="仿宋_GB2312"/>
          <w:color w:val="333333"/>
          <w:kern w:val="0"/>
          <w:sz w:val="32"/>
          <w:szCs w:val="32"/>
          <w:lang w:val="en-US" w:eastAsia="zh-CN" w:bidi="ar"/>
        </w:rPr>
        <w:t>)。 </w:t>
      </w:r>
    </w:p>
    <w:p>
      <w:pPr>
        <w:pStyle w:val="2"/>
        <w:keepNext w:val="0"/>
        <w:keepLines w:val="0"/>
        <w:widowControl/>
        <w:suppressLineNumbers w:val="0"/>
        <w:shd w:val="clear" w:fill="FFFFFF"/>
        <w:wordWrap w:val="0"/>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fill="FFFFFF"/>
          <w:lang w:val="en-US" w:eastAsia="zh-CN" w:bidi="ar"/>
        </w:rPr>
        <w:t> </w:t>
      </w:r>
    </w:p>
    <w:p>
      <w:pPr>
        <w:pStyle w:val="2"/>
        <w:keepNext w:val="0"/>
        <w:keepLines w:val="0"/>
        <w:widowControl/>
        <w:suppressLineNumbers w:val="0"/>
        <w:shd w:val="clear" w:fill="FFFFFF"/>
        <w:wordWrap w:val="0"/>
        <w:spacing w:before="0" w:beforeAutospacing="0" w:after="0" w:afterAutospacing="0"/>
        <w:ind w:left="0" w:right="0" w:firstLine="640"/>
        <w:jc w:val="both"/>
        <w:rPr>
          <w:rFonts w:hint="eastAsia" w:ascii="黑体" w:hAnsi="黑体" w:eastAsia="黑体" w:cs="黑体"/>
          <w:b w:val="0"/>
          <w:bCs/>
          <w:sz w:val="32"/>
          <w:szCs w:val="32"/>
        </w:rPr>
      </w:pPr>
      <w:r>
        <w:rPr>
          <w:rFonts w:hint="eastAsia" w:ascii="黑体" w:hAnsi="黑体" w:eastAsia="黑体" w:cs="黑体"/>
          <w:b w:val="0"/>
          <w:bCs/>
          <w:color w:val="333333"/>
          <w:kern w:val="0"/>
          <w:sz w:val="32"/>
          <w:szCs w:val="32"/>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2019年，安丘市自然资源和规划局认真贯彻《条例》《办法》，全面落实国务院办公厅《2019年政务公开工作要点》、省政府办公厅《2019年山东省政务公开工作要点》要求，坚持“公开为常态，不公开为例外”的原则，加大政府信息公开力度，依法保障了公众的知情权、参与权和监督权，全面提升政府信息公开制度化、标准化、信息化建设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一）加大信息公开力度。2019年，我局主动公开各类信息783条。其中通过市政府网站公开信息783条，通过其他渠道公开政府信息31条。重点领域我局重点对重大建设项目领域的建设项目用地预审和征收土地信息、用地规划许可审批信息、选址意见审批信息、（建设工程规划类许可）审批信息；公共资源配置领域的土地征收和土地出让信息，包括土地供应计划、出让公告、成交公示、供应结果；城乡规划领域的项目批前公示和规划平面图等信息进行了公开。2018年我局共公开重大建设项目领域信息16条，土地出让类信息75条，城乡规划类信息216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（二）认真答复依申请公开。收到公民申请公开政府信息26起，其中信息不存在4起，全部及时进行了受理和回复。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三）强化政府信息管理。市自然资源和规划局高度重视政务公开工作，根据机构改革、职能转变、人员变动情况，及时对政务公开工作领导小组成员进行调整，形成主要领导亲自抓，分管领导具体抓，专人负责政务公开工作的格局。进一步完善公开机制，制定《2019年政务公开工作实施方案》，将公开事项落实到各科室、单位，明确各自职责，政务公开领导小组办公室负责全局政务公开工作的组织、推进、指导、协调等工作，安排专人负责督促落实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（四）健全平台建设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利用市政府门户网站，及时发布各类政府信息，加强与群众沟通交流，及时解答群众疑问。充分发挥新兴媒体的作用，通过“安丘自然”政务微信及时发布权威信息，主动回应社会关切，积极引导社会和网上舆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五）严格落实监督检查制度。加强门户网站信息发布与管理工作，严格按照要求对属于主动公开范围的政府信息，在该政府信息形成或者变更之日起20个工作日内予以公开，做到及时、全面、高效。完善定期督查制度，围绕“五公开”、政策解读等重点工作，每季度采取抽查和听取汇报等方式，对政务公开工作推进情况进行督查。按照“谁起草、谁解读”的原则，实行政策文件与解读方案、解读材料同起草、同审签、同印发、同公开。</w:t>
      </w:r>
    </w:p>
    <w:p>
      <w:pPr>
        <w:pStyle w:val="2"/>
        <w:keepNext w:val="0"/>
        <w:keepLines w:val="0"/>
        <w:widowControl/>
        <w:suppressLineNumbers w:val="0"/>
        <w:shd w:val="clear" w:fill="FFFFFF"/>
        <w:wordWrap w:val="0"/>
        <w:spacing w:before="0" w:beforeAutospacing="0" w:after="0" w:afterAutospacing="0"/>
        <w:ind w:left="0" w:right="0" w:firstLine="640"/>
        <w:jc w:val="both"/>
        <w:rPr>
          <w:rFonts w:hint="eastAsia" w:ascii="黑体" w:hAnsi="黑体" w:eastAsia="黑体" w:cs="黑体"/>
          <w:b w:val="0"/>
          <w:bCs/>
          <w:color w:val="333333"/>
          <w:kern w:val="0"/>
          <w:sz w:val="32"/>
          <w:szCs w:val="32"/>
          <w:shd w:val="clear" w:fill="FFFFFF"/>
          <w:lang w:val="en-US" w:eastAsia="zh-CN" w:bidi="ar"/>
        </w:rPr>
      </w:pPr>
      <w:r>
        <w:rPr>
          <w:rFonts w:hint="eastAsia" w:ascii="黑体" w:hAnsi="黑体" w:eastAsia="黑体" w:cs="黑体"/>
          <w:b w:val="0"/>
          <w:bCs/>
          <w:color w:val="333333"/>
          <w:kern w:val="0"/>
          <w:sz w:val="32"/>
          <w:szCs w:val="32"/>
          <w:shd w:val="clear" w:fill="FFFFFF"/>
          <w:lang w:val="en-US" w:eastAsia="zh-CN" w:bidi="ar"/>
        </w:rPr>
        <w:t>二、主动公开政府信息情况</w:t>
      </w:r>
    </w:p>
    <w:tbl>
      <w:tblPr>
        <w:tblStyle w:val="3"/>
        <w:tblW w:w="8708" w:type="dxa"/>
        <w:jc w:val="center"/>
        <w:shd w:val="clear" w:color="auto" w:fill="auto"/>
        <w:tblLayout w:type="autofit"/>
        <w:tblCellMar>
          <w:top w:w="15" w:type="dxa"/>
          <w:left w:w="15" w:type="dxa"/>
          <w:bottom w:w="15" w:type="dxa"/>
          <w:right w:w="15" w:type="dxa"/>
        </w:tblCellMar>
      </w:tblPr>
      <w:tblGrid>
        <w:gridCol w:w="3073"/>
        <w:gridCol w:w="17"/>
        <w:gridCol w:w="2095"/>
        <w:gridCol w:w="1505"/>
        <w:gridCol w:w="2018"/>
      </w:tblGrid>
      <w:tr>
        <w:tblPrEx>
          <w:shd w:val="clear" w:color="auto" w:fill="auto"/>
          <w:tblCellMar>
            <w:top w:w="15" w:type="dxa"/>
            <w:left w:w="15" w:type="dxa"/>
            <w:bottom w:w="15" w:type="dxa"/>
            <w:right w:w="15"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第二十条第（一）项</w:t>
            </w:r>
          </w:p>
        </w:tc>
      </w:tr>
      <w:tr>
        <w:tblPrEx>
          <w:tblCellMar>
            <w:top w:w="15" w:type="dxa"/>
            <w:left w:w="15" w:type="dxa"/>
            <w:bottom w:w="15" w:type="dxa"/>
            <w:right w:w="15"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本年新制作数量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本年新</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公开数量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对外公开</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总数量</w:t>
            </w:r>
          </w:p>
        </w:tc>
      </w:tr>
      <w:tr>
        <w:tblPrEx>
          <w:tblCellMar>
            <w:top w:w="15" w:type="dxa"/>
            <w:left w:w="15" w:type="dxa"/>
            <w:bottom w:w="15" w:type="dxa"/>
            <w:right w:w="15"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规章</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0</w:t>
            </w:r>
          </w:p>
        </w:tc>
      </w:tr>
      <w:tr>
        <w:tblPrEx>
          <w:tblCellMar>
            <w:top w:w="15" w:type="dxa"/>
            <w:left w:w="15" w:type="dxa"/>
            <w:bottom w:w="15" w:type="dxa"/>
            <w:right w:w="15"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规范性文件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0　</w:t>
            </w:r>
          </w:p>
        </w:tc>
      </w:tr>
      <w:tr>
        <w:tblPrEx>
          <w:tblCellMar>
            <w:top w:w="15" w:type="dxa"/>
            <w:left w:w="15" w:type="dxa"/>
            <w:bottom w:w="15" w:type="dxa"/>
            <w:right w:w="15"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第二十条第（五）项</w:t>
            </w:r>
          </w:p>
        </w:tc>
      </w:tr>
      <w:tr>
        <w:tblPrEx>
          <w:tblCellMar>
            <w:top w:w="15" w:type="dxa"/>
            <w:left w:w="15" w:type="dxa"/>
            <w:bottom w:w="15" w:type="dxa"/>
            <w:right w:w="15"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处理决定数量</w:t>
            </w:r>
          </w:p>
        </w:tc>
      </w:tr>
      <w:tr>
        <w:tblPrEx>
          <w:tblCellMar>
            <w:top w:w="15" w:type="dxa"/>
            <w:left w:w="15" w:type="dxa"/>
            <w:bottom w:w="15" w:type="dxa"/>
            <w:right w:w="15"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行政许可</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125　</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484</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609　</w:t>
            </w:r>
          </w:p>
        </w:tc>
      </w:tr>
      <w:tr>
        <w:tblPrEx>
          <w:tblCellMar>
            <w:top w:w="15" w:type="dxa"/>
            <w:left w:w="15" w:type="dxa"/>
            <w:bottom w:w="15" w:type="dxa"/>
            <w:right w:w="15"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其他对外管理服务事项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r>
      <w:tr>
        <w:tblPrEx>
          <w:tblCellMar>
            <w:top w:w="15" w:type="dxa"/>
            <w:left w:w="15" w:type="dxa"/>
            <w:bottom w:w="15" w:type="dxa"/>
            <w:right w:w="15"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第二十条第（六）项</w:t>
            </w:r>
          </w:p>
        </w:tc>
      </w:tr>
      <w:tr>
        <w:tblPrEx>
          <w:tblCellMar>
            <w:top w:w="15" w:type="dxa"/>
            <w:left w:w="15" w:type="dxa"/>
            <w:bottom w:w="15" w:type="dxa"/>
            <w:right w:w="15"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处理决定数量</w:t>
            </w:r>
          </w:p>
        </w:tc>
      </w:tr>
      <w:tr>
        <w:tblPrEx>
          <w:tblCellMar>
            <w:top w:w="15" w:type="dxa"/>
            <w:left w:w="15" w:type="dxa"/>
            <w:bottom w:w="15" w:type="dxa"/>
            <w:right w:w="15"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行政处罚</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90　</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w:t>
            </w:r>
          </w:p>
        </w:tc>
      </w:tr>
      <w:tr>
        <w:tblPrEx>
          <w:tblCellMar>
            <w:top w:w="15" w:type="dxa"/>
            <w:left w:w="15" w:type="dxa"/>
            <w:bottom w:w="15" w:type="dxa"/>
            <w:right w:w="15"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行政强制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w:t>
            </w:r>
          </w:p>
        </w:tc>
      </w:tr>
      <w:tr>
        <w:tblPrEx>
          <w:tblCellMar>
            <w:top w:w="15" w:type="dxa"/>
            <w:left w:w="15" w:type="dxa"/>
            <w:bottom w:w="15" w:type="dxa"/>
            <w:right w:w="15"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第二十条第（八）项</w:t>
            </w:r>
          </w:p>
        </w:tc>
      </w:tr>
      <w:tr>
        <w:tblPrEx>
          <w:tblCellMar>
            <w:top w:w="15" w:type="dxa"/>
            <w:left w:w="15" w:type="dxa"/>
            <w:bottom w:w="15" w:type="dxa"/>
            <w:right w:w="15"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信息内容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本年增/减</w:t>
            </w:r>
          </w:p>
        </w:tc>
      </w:tr>
      <w:tr>
        <w:tblPrEx>
          <w:tblCellMar>
            <w:top w:w="15" w:type="dxa"/>
            <w:left w:w="15" w:type="dxa"/>
            <w:bottom w:w="15" w:type="dxa"/>
            <w:right w:w="15"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行政事业性收费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r>
      <w:tr>
        <w:tblPrEx>
          <w:tblCellMar>
            <w:top w:w="15" w:type="dxa"/>
            <w:left w:w="15" w:type="dxa"/>
            <w:bottom w:w="15" w:type="dxa"/>
            <w:right w:w="15"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第二十条第（九）项</w:t>
            </w:r>
          </w:p>
        </w:tc>
      </w:tr>
      <w:tr>
        <w:tblPrEx>
          <w:tblCellMar>
            <w:top w:w="15" w:type="dxa"/>
            <w:left w:w="15" w:type="dxa"/>
            <w:bottom w:w="15" w:type="dxa"/>
            <w:right w:w="15"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信息内容</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采购总金额</w:t>
            </w:r>
          </w:p>
        </w:tc>
      </w:tr>
      <w:tr>
        <w:tblPrEx>
          <w:tblCellMar>
            <w:top w:w="15" w:type="dxa"/>
            <w:left w:w="15" w:type="dxa"/>
            <w:bottom w:w="15" w:type="dxa"/>
            <w:right w:w="15"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政府集中采购</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w:t>
            </w:r>
          </w:p>
        </w:tc>
      </w:tr>
    </w:tbl>
    <w:p>
      <w:pPr>
        <w:pStyle w:val="2"/>
        <w:keepNext w:val="0"/>
        <w:keepLines w:val="0"/>
        <w:widowControl/>
        <w:suppressLineNumbers w:val="0"/>
        <w:shd w:val="clear" w:fill="FFFFFF"/>
        <w:wordWrap w:val="0"/>
        <w:spacing w:before="0" w:beforeAutospacing="0" w:after="24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shd w:val="clear" w:fill="FFFFFF"/>
          <w:lang w:val="en-US" w:eastAsia="zh-CN" w:bidi="ar"/>
        </w:rPr>
        <w:t> </w:t>
      </w:r>
    </w:p>
    <w:p>
      <w:pPr>
        <w:pStyle w:val="2"/>
        <w:keepNext w:val="0"/>
        <w:keepLines w:val="0"/>
        <w:widowControl/>
        <w:suppressLineNumbers w:val="0"/>
        <w:shd w:val="clear" w:fill="FFFFFF"/>
        <w:wordWrap w:val="0"/>
        <w:spacing w:before="0" w:beforeAutospacing="0" w:after="0" w:afterAutospacing="0"/>
        <w:ind w:left="0" w:right="0" w:firstLine="640"/>
        <w:jc w:val="both"/>
        <w:rPr>
          <w:rFonts w:hint="eastAsia" w:ascii="黑体" w:hAnsi="黑体" w:eastAsia="黑体" w:cs="黑体"/>
          <w:b w:val="0"/>
          <w:bCs/>
          <w:color w:val="333333"/>
          <w:kern w:val="0"/>
          <w:sz w:val="32"/>
          <w:szCs w:val="32"/>
          <w:shd w:val="clear" w:fill="FFFFFF"/>
          <w:lang w:val="en-US" w:eastAsia="zh-CN" w:bidi="ar"/>
        </w:rPr>
      </w:pPr>
      <w:r>
        <w:rPr>
          <w:rFonts w:hint="eastAsia" w:ascii="黑体" w:hAnsi="黑体" w:eastAsia="黑体" w:cs="黑体"/>
          <w:b w:val="0"/>
          <w:bCs/>
          <w:color w:val="333333"/>
          <w:kern w:val="0"/>
          <w:sz w:val="32"/>
          <w:szCs w:val="32"/>
          <w:shd w:val="clear" w:fill="FFFFFF"/>
          <w:lang w:val="en-US" w:eastAsia="zh-CN" w:bidi="ar"/>
        </w:rPr>
        <w:t>三、收到和处理政府信息公开申请情况</w:t>
      </w:r>
    </w:p>
    <w:tbl>
      <w:tblPr>
        <w:tblStyle w:val="3"/>
        <w:tblW w:w="90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6"/>
        <w:gridCol w:w="1391"/>
        <w:gridCol w:w="2738"/>
        <w:gridCol w:w="842"/>
        <w:gridCol w:w="560"/>
        <w:gridCol w:w="560"/>
        <w:gridCol w:w="560"/>
        <w:gridCol w:w="560"/>
        <w:gridCol w:w="534"/>
        <w:gridCol w:w="63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（本列数据的勾稽关系为：第一项加第二项之和，</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85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85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106" w:right="-107" w:hanging="1"/>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商业企业</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107" w:right="-107"/>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科研机构</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107" w:right="-107"/>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社会公益组织</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106" w:right="-107" w:hanging="1"/>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法律服务机构</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63" w:right="-134"/>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一、本年新收政府信息公开申请数量</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22</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4</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二、上年结转政府信息公开申请数量</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三、本年度办理结果</w:t>
            </w: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（一）予以公开</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firstLine="21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22</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4</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107"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（三）不予公开</w:t>
            </w: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1.属于国家秘密</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2.其他法律行政法规禁止公开</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3.危及“三安全一稳定”</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0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4.保护第三方合法权益</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5.属于三类内部事务信息</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6.属于四类过程性信息</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7.属于行政执法案卷</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8.属于行政查询事项</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107"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（四）无法提供</w:t>
            </w: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1.本机关不掌握相关政府信息</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2.没有现成信息需要另行制作</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3.补正后申请内容仍不明确</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107"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（五）不予处理</w:t>
            </w: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1.信访举报投诉类申请</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2.重复申请</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3.要求提供公开出版物</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4.无正当理由大量反复申请</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5.要求行政机关确认或重新</w:t>
            </w:r>
          </w:p>
          <w:p>
            <w:pPr>
              <w:keepNext w:val="0"/>
              <w:keepLines w:val="0"/>
              <w:widowControl/>
              <w:suppressLineNumbers w:val="0"/>
              <w:spacing w:before="0" w:beforeAutospacing="0" w:after="0" w:afterAutospacing="0" w:line="300" w:lineRule="atLeast"/>
              <w:ind w:left="0" w:right="0" w:firstLine="20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出具已获取信息</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（六）其他处理</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0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（七）总计</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22</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4</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四、结转下年度继续办理</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r>
    </w:tbl>
    <w:p>
      <w:pPr>
        <w:pStyle w:val="2"/>
        <w:keepNext w:val="0"/>
        <w:keepLines w:val="0"/>
        <w:widowControl/>
        <w:suppressLineNumbers w:val="0"/>
        <w:shd w:val="clear" w:fill="FFFFFF"/>
        <w:wordWrap w:val="0"/>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fill="FFFFFF"/>
          <w:lang w:val="en-US" w:eastAsia="zh-CN" w:bidi="ar"/>
        </w:rPr>
        <w:t> </w:t>
      </w:r>
    </w:p>
    <w:p>
      <w:pPr>
        <w:pStyle w:val="2"/>
        <w:keepNext w:val="0"/>
        <w:keepLines w:val="0"/>
        <w:widowControl/>
        <w:suppressLineNumbers w:val="0"/>
        <w:shd w:val="clear" w:fill="FFFFFF"/>
        <w:wordWrap w:val="0"/>
        <w:spacing w:before="0" w:beforeAutospacing="0" w:after="0" w:afterAutospacing="0"/>
        <w:ind w:left="0" w:right="0" w:firstLine="640"/>
        <w:jc w:val="both"/>
        <w:rPr>
          <w:rFonts w:hint="eastAsia" w:ascii="黑体" w:hAnsi="黑体" w:eastAsia="黑体" w:cs="黑体"/>
          <w:b w:val="0"/>
          <w:bCs/>
          <w:color w:val="333333"/>
          <w:kern w:val="0"/>
          <w:sz w:val="32"/>
          <w:szCs w:val="32"/>
          <w:shd w:val="clear" w:fill="FFFFFF"/>
          <w:lang w:val="en-US" w:eastAsia="zh-CN" w:bidi="ar"/>
        </w:rPr>
      </w:pPr>
      <w:r>
        <w:rPr>
          <w:rFonts w:hint="eastAsia" w:ascii="黑体" w:hAnsi="黑体" w:eastAsia="黑体" w:cs="黑体"/>
          <w:b w:val="0"/>
          <w:bCs/>
          <w:color w:val="333333"/>
          <w:kern w:val="0"/>
          <w:sz w:val="32"/>
          <w:szCs w:val="32"/>
          <w:shd w:val="clear" w:fill="FFFFFF"/>
          <w:lang w:val="en-US" w:eastAsia="zh-CN" w:bidi="ar"/>
        </w:rPr>
        <w:t>四、政府信息公开行政复议、行政诉讼情况</w:t>
      </w:r>
    </w:p>
    <w:tbl>
      <w:tblPr>
        <w:tblStyle w:val="3"/>
        <w:tblW w:w="90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hd w:val="clear" w:fill="FFFFFF"/>
              <w:wordWrap w:val="0"/>
              <w:spacing w:before="0" w:beforeAutospacing="0" w:after="0" w:afterAutospacing="0"/>
              <w:ind w:left="0" w:right="0" w:firstLine="420"/>
              <w:jc w:val="both"/>
              <w:rPr>
                <w:rFonts w:hint="eastAsia" w:ascii="仿宋_GB2312" w:hAnsi="仿宋_GB2312" w:eastAsia="仿宋_GB2312" w:cs="仿宋_GB2312"/>
                <w:sz w:val="24"/>
                <w:szCs w:val="24"/>
              </w:rPr>
            </w:pPr>
            <w:r>
              <w:rPr>
                <w:rFonts w:hint="eastAsia" w:ascii="仿宋_GB2312" w:hAnsi="仿宋_GB2312" w:eastAsia="仿宋_GB2312" w:cs="仿宋_GB2312"/>
                <w:color w:val="333333"/>
                <w:kern w:val="0"/>
                <w:sz w:val="32"/>
                <w:szCs w:val="32"/>
                <w:shd w:val="clear" w:fill="FFFFFF"/>
                <w:lang w:val="en-US" w:eastAsia="zh-CN" w:bidi="ar"/>
              </w:rPr>
              <w:t> </w:t>
            </w:r>
            <w:r>
              <w:rPr>
                <w:rFonts w:hint="eastAsia" w:ascii="仿宋_GB2312" w:hAnsi="仿宋_GB2312" w:eastAsia="仿宋_GB2312" w:cs="仿宋_GB2312"/>
                <w:kern w:val="0"/>
                <w:sz w:val="24"/>
                <w:szCs w:val="24"/>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49" w:right="-17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w:t>
            </w:r>
          </w:p>
          <w:p>
            <w:pPr>
              <w:keepNext w:val="0"/>
              <w:keepLines w:val="0"/>
              <w:widowControl/>
              <w:suppressLineNumbers w:val="0"/>
              <w:spacing w:before="0" w:beforeAutospacing="0" w:after="0" w:afterAutospacing="0"/>
              <w:ind w:left="-149" w:right="-17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43" w:right="-132" w:hanging="1"/>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2" w:right="-97"/>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18" w:right="-118"/>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尚未</w:t>
            </w:r>
          </w:p>
          <w:p>
            <w:pPr>
              <w:keepNext w:val="0"/>
              <w:keepLines w:val="0"/>
              <w:widowControl/>
              <w:suppressLineNumbers w:val="0"/>
              <w:spacing w:before="0" w:beforeAutospacing="0" w:after="0" w:afterAutospacing="0"/>
              <w:ind w:left="-118" w:right="-118"/>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总</w:t>
            </w:r>
          </w:p>
          <w:p>
            <w:pPr>
              <w:keepNext w:val="0"/>
              <w:keepLines w:val="0"/>
              <w:widowControl/>
              <w:suppressLineNumbers w:val="0"/>
              <w:spacing w:before="0" w:beforeAutospacing="0" w:after="0" w:afterAutospacing="0" w:line="32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05" w:right="-126"/>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6" w:right="-88"/>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26" w:right="-136"/>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其他</w:t>
            </w:r>
          </w:p>
          <w:p>
            <w:pPr>
              <w:keepNext w:val="0"/>
              <w:keepLines w:val="0"/>
              <w:widowControl/>
              <w:suppressLineNumbers w:val="0"/>
              <w:spacing w:before="0" w:beforeAutospacing="0" w:after="0" w:afterAutospacing="0"/>
              <w:ind w:left="-126" w:right="-136"/>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64" w:right="-153"/>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尚未</w:t>
            </w:r>
          </w:p>
          <w:p>
            <w:pPr>
              <w:keepNext w:val="0"/>
              <w:keepLines w:val="0"/>
              <w:widowControl/>
              <w:suppressLineNumbers w:val="0"/>
              <w:spacing w:before="0" w:beforeAutospacing="0" w:after="0" w:afterAutospacing="0"/>
              <w:ind w:left="-164" w:right="-153"/>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99" w:right="-78"/>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36" w:right="-124"/>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w:t>
            </w:r>
          </w:p>
          <w:p>
            <w:pPr>
              <w:keepNext w:val="0"/>
              <w:keepLines w:val="0"/>
              <w:widowControl/>
              <w:suppressLineNumbers w:val="0"/>
              <w:spacing w:before="0" w:beforeAutospacing="0" w:after="0" w:afterAutospacing="0"/>
              <w:ind w:left="-136" w:right="-124"/>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73" w:right="-134" w:hanging="1"/>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其他</w:t>
            </w:r>
          </w:p>
          <w:p>
            <w:pPr>
              <w:keepNext w:val="0"/>
              <w:keepLines w:val="0"/>
              <w:widowControl/>
              <w:suppressLineNumbers w:val="0"/>
              <w:spacing w:before="0" w:beforeAutospacing="0" w:after="0" w:afterAutospacing="0"/>
              <w:ind w:left="-173" w:right="-134" w:hanging="1"/>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67" w:right="-105" w:hanging="2"/>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bl>
    <w:p>
      <w:pPr>
        <w:keepNext w:val="0"/>
        <w:keepLines w:val="0"/>
        <w:widowControl/>
        <w:suppressLineNumbers w:val="0"/>
        <w:shd w:val="clear" w:fill="FFFFFF"/>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fill="FFFFFF"/>
          <w:lang w:val="en-US" w:eastAsia="zh-CN" w:bidi="ar"/>
        </w:rPr>
        <w:t> </w:t>
      </w:r>
    </w:p>
    <w:p>
      <w:pPr>
        <w:pStyle w:val="2"/>
        <w:keepNext w:val="0"/>
        <w:keepLines w:val="0"/>
        <w:widowControl/>
        <w:suppressLineNumbers w:val="0"/>
        <w:shd w:val="clear" w:fill="FFFFFF"/>
        <w:wordWrap w:val="0"/>
        <w:spacing w:before="0" w:beforeAutospacing="0" w:after="0" w:afterAutospacing="0"/>
        <w:ind w:left="0" w:right="0" w:firstLine="640"/>
        <w:jc w:val="both"/>
        <w:rPr>
          <w:rFonts w:hint="eastAsia" w:ascii="黑体" w:hAnsi="黑体" w:eastAsia="黑体" w:cs="黑体"/>
          <w:b w:val="0"/>
          <w:bCs/>
          <w:color w:val="333333"/>
          <w:kern w:val="0"/>
          <w:sz w:val="32"/>
          <w:szCs w:val="32"/>
          <w:shd w:val="clear" w:fill="FFFFFF"/>
          <w:lang w:val="en-US" w:eastAsia="zh-CN" w:bidi="ar"/>
        </w:rPr>
      </w:pPr>
      <w:r>
        <w:rPr>
          <w:rFonts w:hint="eastAsia" w:ascii="黑体" w:hAnsi="黑体" w:eastAsia="黑体" w:cs="黑体"/>
          <w:b w:val="0"/>
          <w:bCs/>
          <w:color w:val="333333"/>
          <w:kern w:val="0"/>
          <w:sz w:val="32"/>
          <w:szCs w:val="32"/>
          <w:shd w:val="clear" w:fill="FFFFFF"/>
          <w:lang w:val="en-US" w:eastAsia="zh-CN" w:bidi="ar"/>
        </w:rPr>
        <w:t>五、存在的主要问题及改进情况</w:t>
      </w:r>
    </w:p>
    <w:p>
      <w:pPr>
        <w:pStyle w:val="2"/>
        <w:keepNext w:val="0"/>
        <w:keepLines w:val="0"/>
        <w:widowControl/>
        <w:suppressLineNumbers w:val="0"/>
        <w:shd w:val="clear" w:fill="FFFFFF"/>
        <w:wordWrap w:val="0"/>
        <w:spacing w:before="0" w:beforeAutospacing="0" w:after="0" w:afterAutospacing="0"/>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fill="FFFFFF"/>
          <w:lang w:val="en-US" w:eastAsia="zh-CN" w:bidi="ar"/>
        </w:rPr>
        <w:t>    (一)存在问题：一是信息公开不够及时主动;二是公开信息存在不全面、不深入的现象。</w:t>
      </w:r>
    </w:p>
    <w:p>
      <w:pPr>
        <w:keepNext w:val="0"/>
        <w:keepLines w:val="0"/>
        <w:widowControl/>
        <w:suppressLineNumbers w:val="0"/>
        <w:wordWrap w:val="0"/>
        <w:spacing w:before="0" w:beforeAutospacing="0" w:after="0" w:afterAutospacing="0" w:line="4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二)改进情况：针对以上所存在的问题，我局积极整改，制定下发了多个相关文件通知，就全面做好政府信息公开工作提出了明确要求。信息公开数量比往年明显提高，公开内容不断深入，网站等公开载体不断健全完善。</w:t>
      </w:r>
    </w:p>
    <w:p>
      <w:pPr>
        <w:pStyle w:val="2"/>
        <w:keepNext w:val="0"/>
        <w:keepLines w:val="0"/>
        <w:widowControl/>
        <w:suppressLineNumbers w:val="0"/>
        <w:shd w:val="clear" w:fill="FFFFFF"/>
        <w:wordWrap w:val="0"/>
        <w:spacing w:before="0" w:beforeAutospacing="0" w:after="0" w:afterAutospacing="0"/>
        <w:ind w:left="0" w:right="0" w:firstLine="640"/>
        <w:jc w:val="both"/>
        <w:rPr>
          <w:rFonts w:hint="eastAsia" w:ascii="黑体" w:hAnsi="黑体" w:eastAsia="黑体" w:cs="黑体"/>
          <w:b w:val="0"/>
          <w:bCs/>
          <w:color w:val="333333"/>
          <w:kern w:val="0"/>
          <w:sz w:val="32"/>
          <w:szCs w:val="32"/>
          <w:shd w:val="clear" w:fill="FFFFFF"/>
          <w:lang w:val="en-US" w:eastAsia="zh-CN" w:bidi="ar"/>
        </w:rPr>
      </w:pPr>
      <w:bookmarkStart w:id="0" w:name="_GoBack"/>
      <w:r>
        <w:rPr>
          <w:rFonts w:hint="eastAsia" w:ascii="黑体" w:hAnsi="黑体" w:eastAsia="黑体" w:cs="黑体"/>
          <w:b w:val="0"/>
          <w:bCs/>
          <w:color w:val="333333"/>
          <w:kern w:val="0"/>
          <w:sz w:val="32"/>
          <w:szCs w:val="32"/>
          <w:shd w:val="clear" w:fill="FFFFFF"/>
          <w:lang w:val="en-US" w:eastAsia="zh-CN" w:bidi="ar"/>
        </w:rPr>
        <w:t>六、其他需要报告的事项</w:t>
      </w:r>
    </w:p>
    <w:bookmarkEnd w:id="0"/>
    <w:p>
      <w:pPr>
        <w:pStyle w:val="2"/>
        <w:keepNext w:val="0"/>
        <w:keepLines w:val="0"/>
        <w:widowControl/>
        <w:suppressLineNumbers w:val="0"/>
        <w:wordWrap w:val="0"/>
        <w:spacing w:before="0" w:beforeAutospacing="0" w:after="0" w:afterAutospacing="0" w:line="390" w:lineRule="atLeast"/>
        <w:ind w:left="0" w:right="0" w:firstLine="3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fill="FFFFFF"/>
          <w:lang w:val="en-US" w:eastAsia="zh-CN" w:bidi="ar"/>
        </w:rPr>
        <w:t>   无其他需要报告事项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66F4E"/>
    <w:rsid w:val="45EC0BB2"/>
    <w:rsid w:val="53BA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2020-07-07T06:14:30Z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