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560" w:lineRule="exact"/>
        <w:jc w:val="center"/>
        <w:rPr>
          <w:rFonts w:ascii="方正小标宋简体" w:hAnsi="方正小标宋简体" w:eastAsia="方正小标宋简体" w:cs="方正小标宋简体"/>
          <w:sz w:val="44"/>
          <w:szCs w:val="44"/>
          <w:lang w:val="en-US"/>
        </w:rPr>
      </w:pPr>
      <w:bookmarkStart w:id="0" w:name="_GoBack"/>
      <w:bookmarkEnd w:id="0"/>
      <w:r>
        <w:rPr>
          <w:rFonts w:hint="eastAsia" w:ascii="方正小标宋简体" w:hAnsi="方正小标宋简体" w:eastAsia="方正小标宋简体" w:cs="方正小标宋简体"/>
          <w:sz w:val="44"/>
          <w:szCs w:val="44"/>
          <w:lang w:val="en-US"/>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val="en-US"/>
        </w:rPr>
        <w:t>年度安丘市巩固拓展脱贫攻坚成果和</w:t>
      </w:r>
    </w:p>
    <w:p>
      <w:pPr>
        <w:autoSpaceDE/>
        <w:autoSpaceDN/>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乡村振兴项目库入库指南</w:t>
      </w:r>
    </w:p>
    <w:p>
      <w:pPr>
        <w:spacing w:line="560" w:lineRule="exact"/>
        <w:ind w:firstLine="560" w:firstLineChars="200"/>
        <w:rPr>
          <w:sz w:val="28"/>
          <w:szCs w:val="28"/>
        </w:rPr>
      </w:pPr>
    </w:p>
    <w:p>
      <w:pPr>
        <w:spacing w:line="560" w:lineRule="exact"/>
        <w:ind w:firstLine="640" w:firstLineChars="200"/>
        <w:jc w:val="both"/>
        <w:rPr>
          <w:szCs w:val="32"/>
        </w:rPr>
      </w:pPr>
      <w:r>
        <w:rPr>
          <w:rFonts w:hint="eastAsia"/>
          <w:szCs w:val="32"/>
        </w:rPr>
        <w:t>为持续推进巩固拓展脱贫攻坚成果同乡村振兴有效衔接，进一步提升财政衔接推进乡村振兴补助资金（以下简称衔接资金）使用效益，坚决守住不发生规模性返贫底线。根据《国家乡村振兴局关于做好县级巩固拓展脱贫攻坚成果和乡村振兴项目库建设管理的通知》（国乡振发〔2021〕3号）、《山东省财政衔接推进乡村振兴补助资金管理办法》（鲁财农〔2021〕25号）、《山东省财政衔接推进乡村振兴补助资金项目管理办法》（鲁乡振发〔2021〕2号）《山东省财政厅、山东省乡村振兴局等5部门关于加强中央和省级财政衔接推进乡村振兴补助资金使用管理的意见》（鲁财农〔202</w:t>
      </w:r>
      <w:r>
        <w:rPr>
          <w:rFonts w:hint="eastAsia"/>
          <w:szCs w:val="32"/>
          <w:lang w:val="en-US"/>
        </w:rPr>
        <w:t>2</w:t>
      </w:r>
      <w:r>
        <w:rPr>
          <w:rFonts w:hint="eastAsia"/>
          <w:szCs w:val="32"/>
        </w:rPr>
        <w:t>〕</w:t>
      </w:r>
      <w:r>
        <w:rPr>
          <w:rFonts w:hint="eastAsia"/>
          <w:szCs w:val="32"/>
          <w:lang w:val="en-US"/>
        </w:rPr>
        <w:t>11</w:t>
      </w:r>
      <w:r>
        <w:rPr>
          <w:rFonts w:hint="eastAsia"/>
          <w:szCs w:val="32"/>
        </w:rPr>
        <w:t>号）的有关要求，统筹考虑本地区自然禀赋、人文风俗、发展水平等因素，着力补齐农村发展短板，结合我市实际，特制定本项目库入库指南。</w:t>
      </w:r>
    </w:p>
    <w:p>
      <w:pPr>
        <w:spacing w:line="560" w:lineRule="exact"/>
        <w:ind w:firstLine="640" w:firstLineChars="200"/>
        <w:jc w:val="both"/>
        <w:rPr>
          <w:rFonts w:ascii="黑体" w:hAnsi="黑体" w:eastAsia="黑体" w:cs="黑体"/>
          <w:szCs w:val="32"/>
        </w:rPr>
      </w:pPr>
      <w:r>
        <w:rPr>
          <w:rFonts w:hint="eastAsia" w:ascii="黑体" w:hAnsi="黑体" w:eastAsia="黑体" w:cs="黑体"/>
          <w:szCs w:val="32"/>
        </w:rPr>
        <w:t>一、衔接资金项目</w:t>
      </w:r>
    </w:p>
    <w:p>
      <w:pPr>
        <w:widowControl/>
        <w:spacing w:line="560" w:lineRule="exact"/>
        <w:ind w:firstLine="640" w:firstLineChars="200"/>
        <w:jc w:val="both"/>
        <w:rPr>
          <w:szCs w:val="32"/>
        </w:rPr>
      </w:pPr>
      <w:r>
        <w:rPr>
          <w:rFonts w:hint="eastAsia"/>
          <w:szCs w:val="32"/>
        </w:rPr>
        <w:t>本指南所称衔接资金，是指过渡期内，中央和地方各级财政预算安排专项用于巩固拓展脱贫攻坚成果同乡村振兴有效衔接的资金，衔接资金项目是使用衔接资金支持巩固拓展脱贫攻坚成果和衔接推进乡村振兴的产业发展和农村小型基础设施建设项目</w:t>
      </w:r>
      <w:r>
        <w:rPr>
          <w:rFonts w:hint="eastAsia"/>
          <w:szCs w:val="32"/>
          <w:lang w:val="en-US"/>
        </w:rPr>
        <w:t>。</w:t>
      </w:r>
    </w:p>
    <w:p>
      <w:pPr>
        <w:spacing w:line="560" w:lineRule="exact"/>
        <w:ind w:firstLine="640" w:firstLineChars="200"/>
        <w:jc w:val="both"/>
        <w:rPr>
          <w:rFonts w:ascii="黑体" w:hAnsi="黑体" w:eastAsia="黑体" w:cs="黑体"/>
          <w:szCs w:val="32"/>
        </w:rPr>
      </w:pPr>
      <w:r>
        <w:rPr>
          <w:rFonts w:hint="eastAsia" w:ascii="黑体" w:hAnsi="黑体" w:eastAsia="黑体" w:cs="黑体"/>
          <w:szCs w:val="32"/>
        </w:rPr>
        <w:t>二、项目储备原则</w:t>
      </w:r>
    </w:p>
    <w:p>
      <w:pPr>
        <w:autoSpaceDE/>
        <w:autoSpaceDN/>
        <w:spacing w:line="560" w:lineRule="exact"/>
        <w:ind w:firstLine="640" w:firstLineChars="200"/>
        <w:jc w:val="both"/>
        <w:rPr>
          <w:bCs/>
          <w:szCs w:val="32"/>
          <w:lang w:val="en-US"/>
        </w:rPr>
      </w:pPr>
      <w:r>
        <w:rPr>
          <w:rFonts w:hint="eastAsia"/>
          <w:szCs w:val="32"/>
          <w:lang w:val="en-US"/>
        </w:rPr>
        <w:t>1.</w:t>
      </w:r>
      <w:r>
        <w:rPr>
          <w:rFonts w:hint="eastAsia"/>
          <w:szCs w:val="32"/>
        </w:rPr>
        <w:t>衔接资金主要用于支持巩固拓展脱贫攻坚成果同乡村振兴有效衔接，</w:t>
      </w:r>
      <w:r>
        <w:rPr>
          <w:rFonts w:hint="eastAsia"/>
          <w:szCs w:val="32"/>
          <w:lang w:eastAsia="zh-CN"/>
        </w:rPr>
        <w:t>坚持提前谋划、规模适度、有进有出、动态管理，做好项目储备和入库管理，坚持因地制宜，严格入库项目论证。</w:t>
      </w:r>
      <w:r>
        <w:rPr>
          <w:rFonts w:hint="eastAsia"/>
          <w:szCs w:val="32"/>
        </w:rPr>
        <w:t>加大对巩固拓展脱贫攻坚成果</w:t>
      </w:r>
      <w:r>
        <w:rPr>
          <w:rFonts w:hint="eastAsia"/>
          <w:bCs/>
          <w:szCs w:val="32"/>
          <w:lang w:val="en-US"/>
        </w:rPr>
        <w:t>任务较重的镇村倾斜支持，用于衔接推进乡村振兴的资金优先安排到脱贫村，以及帮扶对象数量较多的镇村。</w:t>
      </w:r>
    </w:p>
    <w:p>
      <w:pPr>
        <w:pStyle w:val="2"/>
        <w:spacing w:before="0" w:after="0" w:line="560" w:lineRule="exact"/>
        <w:ind w:firstLine="640" w:firstLineChars="200"/>
        <w:jc w:val="both"/>
        <w:rPr>
          <w:b w:val="0"/>
          <w:szCs w:val="32"/>
          <w:lang w:val="en-US"/>
        </w:rPr>
      </w:pPr>
      <w:r>
        <w:rPr>
          <w:rFonts w:hint="eastAsia"/>
          <w:b w:val="0"/>
          <w:szCs w:val="32"/>
          <w:lang w:val="en-US"/>
        </w:rPr>
        <w:t>2.要突出重点，统筹整合各方资源，实施一批促发展补短板项目，突出重点群体，优先支持脱贫户、监测帮扶对象增收。要突出重点内容，推动帮扶产业提档升级、提质增效。要聚焦短板弱项，继续支持弥补农村供水等小型公益性基础设施建设短板和急需的农村人居环境整治设施项目。要聚焦关键，加强系统谋划，紧紧围绕一二三产业融合发展、培育县域富民产业，支持全产业链的关键环节，解决产业提档升级的制约，创新资金分配使用方式，强化生产经营主体的引领带动作用，提升到人到户项目的帮扶实效。</w:t>
      </w:r>
    </w:p>
    <w:p>
      <w:pPr>
        <w:spacing w:line="560" w:lineRule="exact"/>
        <w:ind w:firstLine="640" w:firstLineChars="200"/>
        <w:jc w:val="both"/>
        <w:rPr>
          <w:szCs w:val="32"/>
        </w:rPr>
      </w:pPr>
      <w:r>
        <w:rPr>
          <w:rFonts w:hint="eastAsia"/>
          <w:szCs w:val="32"/>
          <w:lang w:val="en-US"/>
        </w:rPr>
        <w:t>3.</w:t>
      </w:r>
      <w:r>
        <w:rPr>
          <w:rFonts w:hint="eastAsia"/>
          <w:szCs w:val="32"/>
        </w:rPr>
        <w:t>规划新入库的项目</w:t>
      </w:r>
      <w:r>
        <w:rPr>
          <w:rFonts w:hint="eastAsia"/>
          <w:szCs w:val="32"/>
          <w:lang w:val="en-US"/>
        </w:rPr>
        <w:t>重点审查项目的可行性及实效性，</w:t>
      </w:r>
      <w:r>
        <w:rPr>
          <w:rFonts w:hint="eastAsia"/>
          <w:szCs w:val="32"/>
        </w:rPr>
        <w:t>要立足当地基础条件、资源禀赋和产业发展优势，突出特色，系统谋划整体性好、建设周期短、见效快、绩效目标合理、联农带农机制完善、脱贫人口能够稳定持续受益的项目。可采取“产业+基础”融合、“村与村”联合、“村申报、镇统筹实施”的模式，积极探索综合性强、总体效益高的乡村振兴衔接推进综合体项目。</w:t>
      </w:r>
    </w:p>
    <w:p>
      <w:pPr>
        <w:widowControl/>
        <w:spacing w:line="560" w:lineRule="exact"/>
        <w:ind w:firstLine="640" w:firstLineChars="200"/>
        <w:jc w:val="both"/>
        <w:rPr>
          <w:szCs w:val="32"/>
        </w:rPr>
      </w:pPr>
      <w:r>
        <w:rPr>
          <w:rFonts w:hint="eastAsia"/>
          <w:szCs w:val="32"/>
          <w:lang w:val="en-US"/>
        </w:rPr>
        <w:t>4.项目单位提交入库项目申请时，应完成必要的前期工作，</w:t>
      </w:r>
      <w:r>
        <w:rPr>
          <w:rFonts w:hint="eastAsia" w:hAnsi="宋体"/>
          <w:color w:val="000000"/>
          <w:szCs w:val="32"/>
          <w:lang w:val="en-US" w:bidi="ar"/>
        </w:rPr>
        <w:t>建设内容不符合资金使用方向，对生态环境保护造成影响，违反基本农田保护政策，土地建设手续不全，建设位置不利于管理运营</w:t>
      </w:r>
      <w:r>
        <w:rPr>
          <w:rFonts w:hint="eastAsia" w:hAnsi="宋体"/>
          <w:color w:val="000000"/>
          <w:szCs w:val="32"/>
          <w:lang w:val="en-US" w:eastAsia="zh-CN" w:bidi="ar"/>
        </w:rPr>
        <w:t>，</w:t>
      </w:r>
      <w:r>
        <w:rPr>
          <w:rFonts w:hint="eastAsia" w:hAnsi="宋体"/>
          <w:color w:val="000000"/>
          <w:szCs w:val="32"/>
          <w:lang w:val="en-US" w:bidi="ar"/>
        </w:rPr>
        <w:t>绩效目标</w:t>
      </w:r>
      <w:r>
        <w:rPr>
          <w:rFonts w:hint="eastAsia" w:hAnsi="宋体"/>
          <w:color w:val="000000"/>
          <w:szCs w:val="32"/>
          <w:lang w:val="en-US" w:eastAsia="zh-CN" w:bidi="ar"/>
        </w:rPr>
        <w:t>不合理以及联农带农机制不健全</w:t>
      </w:r>
      <w:r>
        <w:rPr>
          <w:rFonts w:hint="eastAsia" w:hAnsi="宋体"/>
          <w:color w:val="000000"/>
          <w:szCs w:val="32"/>
          <w:lang w:val="en-US" w:bidi="ar"/>
        </w:rPr>
        <w:t>的项目，不得纳入项目库管理。</w:t>
      </w:r>
      <w:r>
        <w:rPr>
          <w:rFonts w:hint="eastAsia"/>
          <w:szCs w:val="32"/>
          <w:lang w:val="en-US"/>
        </w:rPr>
        <w:t>入库项目申请书要明确</w:t>
      </w:r>
      <w:r>
        <w:rPr>
          <w:rFonts w:hint="eastAsia"/>
          <w:szCs w:val="32"/>
          <w:lang w:val="en-US" w:eastAsia="zh-CN"/>
        </w:rPr>
        <w:t>实施地点</w:t>
      </w:r>
      <w:r>
        <w:rPr>
          <w:rFonts w:hint="eastAsia"/>
          <w:szCs w:val="32"/>
          <w:lang w:val="en-US"/>
        </w:rPr>
        <w:t>、实施期限、建设任务</w:t>
      </w:r>
      <w:r>
        <w:rPr>
          <w:rFonts w:hint="eastAsia"/>
          <w:szCs w:val="32"/>
          <w:lang w:val="en-US" w:eastAsia="zh-CN"/>
        </w:rPr>
        <w:t>、</w:t>
      </w:r>
      <w:r>
        <w:rPr>
          <w:rFonts w:hint="eastAsia"/>
          <w:szCs w:val="32"/>
          <w:lang w:val="en-US"/>
        </w:rPr>
        <w:t>资金规模、受益对象</w:t>
      </w:r>
      <w:r>
        <w:rPr>
          <w:rFonts w:hint="eastAsia"/>
          <w:szCs w:val="32"/>
          <w:lang w:val="en-US" w:eastAsia="zh-CN"/>
        </w:rPr>
        <w:t>、</w:t>
      </w:r>
      <w:r>
        <w:rPr>
          <w:rFonts w:hint="eastAsia"/>
          <w:szCs w:val="32"/>
          <w:lang w:val="en-US"/>
        </w:rPr>
        <w:t>绩效目标、</w:t>
      </w:r>
      <w:r>
        <w:rPr>
          <w:rFonts w:hint="eastAsia"/>
          <w:szCs w:val="32"/>
          <w:lang w:val="en-US" w:eastAsia="zh-CN"/>
        </w:rPr>
        <w:t>联农带农机</w:t>
      </w:r>
      <w:r>
        <w:rPr>
          <w:rFonts w:hint="eastAsia"/>
          <w:szCs w:val="32"/>
          <w:lang w:val="en-US"/>
        </w:rPr>
        <w:t>制等主要内容。</w:t>
      </w:r>
    </w:p>
    <w:p>
      <w:pPr>
        <w:spacing w:line="560" w:lineRule="exact"/>
        <w:ind w:firstLine="640" w:firstLineChars="200"/>
        <w:jc w:val="both"/>
        <w:rPr>
          <w:rFonts w:ascii="黑体" w:hAnsi="黑体" w:eastAsia="黑体" w:cs="黑体"/>
          <w:szCs w:val="32"/>
        </w:rPr>
      </w:pPr>
      <w:r>
        <w:rPr>
          <w:rFonts w:hint="eastAsia" w:ascii="黑体" w:hAnsi="黑体" w:eastAsia="黑体" w:cs="黑体"/>
          <w:szCs w:val="32"/>
        </w:rPr>
        <w:t>三、资金支持方向</w:t>
      </w:r>
    </w:p>
    <w:p>
      <w:pPr>
        <w:spacing w:line="560" w:lineRule="exact"/>
        <w:ind w:firstLine="640" w:firstLineChars="200"/>
        <w:jc w:val="both"/>
        <w:rPr>
          <w:szCs w:val="32"/>
        </w:rPr>
      </w:pPr>
      <w:r>
        <w:rPr>
          <w:rFonts w:hint="eastAsia"/>
          <w:szCs w:val="32"/>
        </w:rPr>
        <w:t>项目申报要聚焦防止返贫动态监测和帮扶、</w:t>
      </w:r>
      <w:r>
        <w:rPr>
          <w:rFonts w:hint="eastAsia"/>
          <w:szCs w:val="32"/>
          <w:lang w:eastAsia="zh-CN"/>
        </w:rPr>
        <w:t>乡村</w:t>
      </w:r>
      <w:r>
        <w:rPr>
          <w:rFonts w:hint="eastAsia"/>
          <w:szCs w:val="32"/>
        </w:rPr>
        <w:t>产业发展和</w:t>
      </w:r>
      <w:r>
        <w:rPr>
          <w:rFonts w:hint="eastAsia"/>
          <w:szCs w:val="32"/>
          <w:lang w:eastAsia="zh-CN"/>
        </w:rPr>
        <w:t>乡村</w:t>
      </w:r>
      <w:r>
        <w:rPr>
          <w:rFonts w:hint="eastAsia"/>
          <w:szCs w:val="32"/>
        </w:rPr>
        <w:t>建设等任务，将巩固拓展脱贫攻坚成果和衔接推进乡村振兴项目有序入库。申报项目必须要符合衔接资金支持使用方向，各级衔接资金支持的项目，原则上从项目库中选择；使用其他资金安排的巩固拓展脱贫攻坚成果的项目，鼓励从项目库中选择。</w:t>
      </w:r>
    </w:p>
    <w:p>
      <w:pPr>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lang w:val="en-US"/>
        </w:rPr>
        <w:t>（一）支持巩固拓展脱贫攻坚成果。</w:t>
      </w:r>
    </w:p>
    <w:p>
      <w:pPr>
        <w:widowControl/>
        <w:spacing w:line="560" w:lineRule="exact"/>
        <w:ind w:firstLine="640" w:firstLineChars="200"/>
        <w:jc w:val="both"/>
        <w:rPr>
          <w:rFonts w:hAnsi="宋体"/>
          <w:color w:val="000000"/>
          <w:szCs w:val="32"/>
          <w:lang w:val="en-US" w:bidi="ar"/>
        </w:rPr>
      </w:pPr>
      <w:r>
        <w:rPr>
          <w:rFonts w:hint="eastAsia" w:hAnsi="宋体"/>
          <w:color w:val="000000"/>
          <w:szCs w:val="32"/>
          <w:lang w:val="en-US" w:bidi="ar"/>
        </w:rPr>
        <w:t>1.健全防止返贫致贫监测和帮扶机制，加强监测预警，强化及时帮扶，对监测帮扶对象采取有针对性的预防性措施和事后帮扶措施。可安排产业发展、原扶贫项目提质增效、小额信贷和富民生产贷（含省级扶贫龙头企业贷款）贴息、生产经营和劳动技能培训、公益岗位补助等支出。继续向符合条件的脱贫家庭（含监测帮扶对象）安排“雨露计划”补助。</w:t>
      </w:r>
    </w:p>
    <w:p>
      <w:pPr>
        <w:spacing w:line="560" w:lineRule="exact"/>
        <w:ind w:firstLine="640" w:firstLineChars="200"/>
        <w:jc w:val="both"/>
        <w:rPr>
          <w:lang w:val="en-US" w:bidi="ar"/>
        </w:rPr>
      </w:pPr>
      <w:r>
        <w:rPr>
          <w:rFonts w:hint="eastAsia" w:hAnsi="宋体"/>
          <w:color w:val="000000"/>
          <w:szCs w:val="32"/>
          <w:lang w:val="en-US" w:eastAsia="zh-CN" w:bidi="ar"/>
        </w:rPr>
        <w:t>2</w:t>
      </w:r>
      <w:r>
        <w:rPr>
          <w:rFonts w:hint="eastAsia" w:hAnsi="宋体"/>
          <w:color w:val="000000"/>
          <w:szCs w:val="32"/>
          <w:lang w:val="en-US" w:bidi="ar"/>
        </w:rPr>
        <w:t>.外出务工脱贫劳动力（含监测帮扶对象）稳定就业，可对跨省就业的脱贫劳动力适当安排一次性交通补助。采取扶贫车间、生</w:t>
      </w:r>
      <w:r>
        <w:rPr>
          <w:rFonts w:hint="eastAsia"/>
        </w:rPr>
        <w:t>产奖补、劳务补助等方式，促进返乡在乡脱贫劳动力发展产业和就业增收。</w:t>
      </w:r>
    </w:p>
    <w:p>
      <w:pPr>
        <w:spacing w:line="560" w:lineRule="exact"/>
        <w:ind w:firstLine="640" w:firstLineChars="200"/>
        <w:jc w:val="both"/>
        <w:rPr>
          <w:szCs w:val="32"/>
          <w:lang w:val="en-US"/>
        </w:rPr>
      </w:pPr>
      <w:r>
        <w:rPr>
          <w:rFonts w:hint="eastAsia"/>
          <w:lang w:val="en-US" w:eastAsia="zh-CN"/>
        </w:rPr>
        <w:t>3</w:t>
      </w:r>
      <w:r>
        <w:rPr>
          <w:rFonts w:hint="eastAsia"/>
        </w:rPr>
        <w:t>.项目管理费原则上由县级按比</w:t>
      </w:r>
      <w:r>
        <w:rPr>
          <w:rFonts w:hint="eastAsia" w:hAnsi="宋体"/>
          <w:color w:val="000000"/>
          <w:szCs w:val="32"/>
          <w:lang w:val="en-US" w:bidi="ar"/>
        </w:rPr>
        <w:t>例提取、统筹使用，重点用于项目前期设计、评审、招标、监理以及验收等与项目管理相关的支出。</w:t>
      </w:r>
    </w:p>
    <w:p>
      <w:pPr>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lang w:val="en-US"/>
        </w:rPr>
        <w:t>（二）支持衔接推进乡村振兴。</w:t>
      </w:r>
    </w:p>
    <w:p>
      <w:pPr>
        <w:widowControl/>
        <w:spacing w:line="560" w:lineRule="exact"/>
        <w:ind w:firstLine="640" w:firstLineChars="200"/>
        <w:jc w:val="both"/>
        <w:rPr>
          <w:rFonts w:hAnsi="宋体"/>
          <w:color w:val="000000"/>
          <w:szCs w:val="32"/>
          <w:lang w:val="en-US" w:bidi="ar"/>
        </w:rPr>
      </w:pPr>
      <w:r>
        <w:rPr>
          <w:rFonts w:hint="eastAsia" w:hAnsi="宋体"/>
          <w:color w:val="000000"/>
          <w:szCs w:val="32"/>
          <w:lang w:val="en-US" w:bidi="ar"/>
        </w:rPr>
        <w:t>1.优先支持联农带农富农产业发展。培育和壮大特色优势产业并逐年提高</w:t>
      </w:r>
      <w:r>
        <w:rPr>
          <w:rFonts w:hint="eastAsia" w:hAnsi="宋体"/>
          <w:color w:val="000000"/>
          <w:szCs w:val="32"/>
          <w:lang w:val="en-US" w:eastAsia="zh-CN" w:bidi="ar"/>
        </w:rPr>
        <w:t>中央、省级</w:t>
      </w:r>
      <w:r>
        <w:rPr>
          <w:rFonts w:hint="eastAsia" w:hAnsi="宋体"/>
          <w:color w:val="000000"/>
          <w:szCs w:val="32"/>
          <w:lang w:val="en-US" w:bidi="ar"/>
        </w:rPr>
        <w:t>资金占比，重点支持具有较好资源禀赋、良好市场前景、带动增收能力强的种养业，延伸支持农产品精深加工、副产物综合利用和以农业产业为主体的一二三产业融合发展，统筹支持具有民族特色、地域特色的手工业，并建立健全联农带农富农机制。落实高质量发展要求，以促进全产业链发展、产业集聚发展为方向，补上技术、设施、营销等短板，促进产业提档升级。支持推广良种良法和先进生产加工技术，购买技术服务。支持农业品种培优、品质提升、品牌打造。支持建设必要的水、电、路、网等配套于具体产业项目的农业生产设施，以当地农产品为主要原料供应的加工、产地冷藏保鲜等产业配套设施，鼓励建设标准化生产、加工、仓储基地。支持农产品、特色手工制品品牌打造和产销对接，促进解决农产品“卖难”问题。</w:t>
      </w:r>
    </w:p>
    <w:p>
      <w:pPr>
        <w:spacing w:line="560" w:lineRule="exact"/>
        <w:ind w:firstLine="640" w:firstLineChars="200"/>
        <w:jc w:val="both"/>
        <w:rPr>
          <w:rFonts w:hAnsi="宋体"/>
          <w:color w:val="000000"/>
          <w:szCs w:val="32"/>
          <w:lang w:val="en-US" w:bidi="ar"/>
        </w:rPr>
      </w:pPr>
      <w:r>
        <w:rPr>
          <w:rFonts w:hint="eastAsia"/>
          <w:szCs w:val="32"/>
        </w:rPr>
        <w:t>积极发挥龙头企业、专业合作社、家庭农场、农业社会化服务组织的引领带动作用。鼓励各地顺应产业发展规律，立足当地优势资源禀赋，统筹支持产业发展的各渠道资金，支持现代农业产业园、农业产业强镇和优势特色产业集群建设，壮大县域富民产业，让农民群众更多分享产业增值收益。</w:t>
      </w:r>
    </w:p>
    <w:p>
      <w:pPr>
        <w:widowControl/>
        <w:spacing w:line="560" w:lineRule="exact"/>
        <w:ind w:firstLine="640" w:firstLineChars="200"/>
        <w:jc w:val="both"/>
        <w:rPr>
          <w:rFonts w:hAnsi="宋体"/>
          <w:color w:val="000000"/>
          <w:szCs w:val="32"/>
          <w:lang w:val="en-US" w:bidi="ar"/>
        </w:rPr>
      </w:pPr>
      <w:r>
        <w:rPr>
          <w:rFonts w:hint="eastAsia" w:hAnsi="宋体"/>
          <w:color w:val="000000"/>
          <w:szCs w:val="32"/>
          <w:lang w:val="en-US" w:bidi="ar"/>
        </w:rPr>
        <w:t>2.支持必要的基础设施补短板。扎实稳妥推进乡村建设，根据城镇和村庄布局分类，支持有条件、有需求的村庄编制村庄规划，重点支持因地制宜补齐农村供水设施短板、稳步提升农村供水保障水平，允许适当安排资金改善影响群众基本生活条件的村（农场）内道路、桥梁、排水、垃圾清运、生活污水处理等小型公益性基础设施。支持完善易地搬迁集中安置区社区内必要的配套设施，适当补助“一站式”社区综合服务设施建设。各级衔接资金支持的村内小型公益性基础设施建设和农村人居环境整治项目，要避免与其他渠道的资金重复安排。</w:t>
      </w:r>
    </w:p>
    <w:p>
      <w:pPr>
        <w:widowControl/>
        <w:spacing w:line="560" w:lineRule="exact"/>
        <w:ind w:firstLine="640" w:firstLineChars="200"/>
        <w:jc w:val="both"/>
        <w:rPr>
          <w:rFonts w:hint="eastAsia" w:hAnsi="宋体"/>
          <w:color w:val="000000"/>
          <w:szCs w:val="32"/>
          <w:lang w:val="en-US" w:bidi="ar"/>
        </w:rPr>
      </w:pPr>
      <w:r>
        <w:rPr>
          <w:rFonts w:hint="eastAsia" w:hAnsi="宋体"/>
          <w:color w:val="000000"/>
          <w:szCs w:val="32"/>
          <w:lang w:val="en-US" w:bidi="ar"/>
        </w:rPr>
        <w:t>各地可因地制宜采取以奖代补等方式实施项目建设，具备条件的可推广以工代赈方式，带动监测帮扶对象、脱贫人口、其他农户等就地就业。允许在科学规划、统筹谋划的基础上，采取分领域推进的方式，解决符合资金用途的1-2项突出短板；或者统筹相关领域资金，集中连片改善村内基础设施条件。鼓励开展衔接乡村振兴集中推进区</w:t>
      </w:r>
      <w:r>
        <w:rPr>
          <w:rFonts w:hint="eastAsia" w:hAnsi="宋体"/>
          <w:color w:val="000000"/>
          <w:szCs w:val="32"/>
          <w:lang w:val="en-US" w:eastAsia="zh-CN" w:bidi="ar"/>
        </w:rPr>
        <w:t>、乡村振兴示范片区</w:t>
      </w:r>
      <w:r>
        <w:rPr>
          <w:rFonts w:hint="eastAsia" w:hAnsi="宋体"/>
          <w:color w:val="000000"/>
          <w:szCs w:val="32"/>
          <w:lang w:val="en-US" w:bidi="ar"/>
        </w:rPr>
        <w:t>建设，统筹各类资金资源，全面推进乡村振兴。</w:t>
      </w:r>
    </w:p>
    <w:p>
      <w:pPr>
        <w:widowControl/>
        <w:spacing w:line="560" w:lineRule="exact"/>
        <w:ind w:firstLine="640" w:firstLineChars="200"/>
        <w:jc w:val="both"/>
        <w:rPr>
          <w:szCs w:val="32"/>
        </w:rPr>
      </w:pPr>
      <w:r>
        <w:rPr>
          <w:rFonts w:hint="eastAsia" w:ascii="楷体_GB2312" w:hAnsi="楷体_GB2312" w:eastAsia="楷体_GB2312" w:cs="楷体_GB2312"/>
          <w:szCs w:val="32"/>
          <w:lang w:val="en-US"/>
        </w:rPr>
        <w:t>（三）项目负面清单。</w:t>
      </w:r>
    </w:p>
    <w:p>
      <w:pPr>
        <w:spacing w:line="560" w:lineRule="exact"/>
        <w:ind w:firstLine="640" w:firstLineChars="200"/>
        <w:jc w:val="both"/>
        <w:rPr>
          <w:rFonts w:hAnsi="宋体"/>
          <w:color w:val="000000"/>
          <w:szCs w:val="32"/>
          <w:lang w:val="en-US" w:bidi="ar"/>
        </w:rPr>
      </w:pPr>
      <w:r>
        <w:rPr>
          <w:rFonts w:hint="eastAsia" w:hAnsi="宋体"/>
          <w:color w:val="000000"/>
          <w:szCs w:val="32"/>
          <w:lang w:val="en-US" w:bidi="ar"/>
        </w:rPr>
        <w:t>衔接资金不得用于与巩固拓展脱贫攻坚成果和衔接推进乡村振兴无关的支出，包括：单位基本支出、交通工具及通讯设备购置支出、修建楼堂馆所、发放各种工资奖金津贴和福利性补助、防止返贫监测预警工作经费；偿还债务本息（不含对纳入“十三五”规划的易地搬迁贷款给予贴息和对调整规范易地搬迁融资方式后发行的地方政府一般债券按规定予以补助）和垫资等。</w:t>
      </w:r>
    </w:p>
    <w:p>
      <w:pPr>
        <w:spacing w:line="560" w:lineRule="exact"/>
        <w:ind w:firstLine="640" w:firstLineChars="200"/>
        <w:jc w:val="both"/>
        <w:rPr>
          <w:rFonts w:hint="eastAsia"/>
          <w:szCs w:val="32"/>
        </w:rPr>
      </w:pPr>
      <w:r>
        <w:rPr>
          <w:rFonts w:hint="eastAsia"/>
          <w:szCs w:val="32"/>
        </w:rPr>
        <w:t>低保、医保、养老保险、临时救助等有稳定、固定资金渠道的综合保障措施，教育、卫生、养老服务、文化等有相应资金渠道的农村基本公共服务，按原资金渠道予以支持保障。</w:t>
      </w:r>
    </w:p>
    <w:p>
      <w:pPr>
        <w:widowControl/>
        <w:spacing w:line="560" w:lineRule="exact"/>
        <w:ind w:firstLine="640" w:firstLineChars="200"/>
        <w:jc w:val="both"/>
        <w:rPr>
          <w:lang w:val="en-US"/>
        </w:rPr>
      </w:pPr>
      <w:r>
        <w:rPr>
          <w:rFonts w:hint="eastAsia" w:hAnsi="宋体"/>
          <w:color w:val="000000"/>
          <w:szCs w:val="32"/>
          <w:lang w:val="en-US" w:bidi="ar"/>
        </w:rPr>
        <w:t>利用各级衔接资金支持的基础设施补短板</w:t>
      </w:r>
      <w:r>
        <w:rPr>
          <w:rFonts w:hint="eastAsia" w:hAnsi="宋体"/>
          <w:color w:val="000000"/>
          <w:szCs w:val="32"/>
          <w:lang w:val="en-US" w:eastAsia="zh-CN" w:bidi="ar"/>
        </w:rPr>
        <w:t>乡村建设行动</w:t>
      </w:r>
      <w:r>
        <w:rPr>
          <w:rFonts w:hint="eastAsia" w:hAnsi="宋体"/>
          <w:color w:val="000000"/>
          <w:szCs w:val="32"/>
          <w:lang w:val="en-US" w:bidi="ar"/>
        </w:rPr>
        <w:t>项目，要根据发展水平、发展阶段合理确定建设</w:t>
      </w:r>
      <w:r>
        <w:rPr>
          <w:rFonts w:hint="eastAsia" w:hAnsi="宋体"/>
          <w:color w:val="000000"/>
          <w:szCs w:val="32"/>
          <w:lang w:val="en-US" w:eastAsia="zh-CN" w:bidi="ar"/>
        </w:rPr>
        <w:t>内容及</w:t>
      </w:r>
      <w:r>
        <w:rPr>
          <w:rFonts w:hint="eastAsia" w:hAnsi="宋体"/>
          <w:color w:val="000000"/>
          <w:szCs w:val="32"/>
          <w:lang w:val="en-US" w:bidi="ar"/>
        </w:rPr>
        <w:t>标准，避免基层建设脱离实际、效仿攀比、劳民伤财</w:t>
      </w:r>
      <w:r>
        <w:rPr>
          <w:rFonts w:hint="eastAsia" w:hAnsi="宋体"/>
          <w:color w:val="000000"/>
          <w:szCs w:val="32"/>
          <w:lang w:val="en-US" w:eastAsia="zh-CN" w:bidi="ar"/>
        </w:rPr>
        <w:t>，</w:t>
      </w:r>
      <w:r>
        <w:rPr>
          <w:rFonts w:hint="eastAsia" w:hAnsi="宋体"/>
          <w:color w:val="000000"/>
          <w:szCs w:val="32"/>
          <w:lang w:val="en-US" w:bidi="ar"/>
        </w:rPr>
        <w:t>杜绝形象工程</w:t>
      </w:r>
      <w:r>
        <w:rPr>
          <w:rFonts w:hint="eastAsia" w:hAnsi="宋体"/>
          <w:color w:val="000000"/>
          <w:szCs w:val="32"/>
          <w:lang w:val="en-US" w:eastAsia="zh-CN" w:bidi="ar"/>
        </w:rPr>
        <w:t>，严禁实施“门墙亭廊栏”等景观建筑、造景工程</w:t>
      </w:r>
      <w:r>
        <w:rPr>
          <w:rFonts w:hint="eastAsia" w:hAnsi="宋体"/>
          <w:color w:val="000000"/>
          <w:szCs w:val="32"/>
          <w:lang w:val="en-US" w:bidi="ar"/>
        </w:rPr>
        <w:t>。</w:t>
      </w:r>
    </w:p>
    <w:p>
      <w:pPr>
        <w:spacing w:line="560" w:lineRule="exact"/>
        <w:ind w:firstLine="640" w:firstLineChars="200"/>
        <w:jc w:val="both"/>
        <w:rPr>
          <w:rFonts w:ascii="黑体" w:hAnsi="黑体" w:eastAsia="黑体" w:cs="黑体"/>
          <w:szCs w:val="32"/>
        </w:rPr>
      </w:pPr>
      <w:r>
        <w:rPr>
          <w:rFonts w:hint="eastAsia" w:ascii="黑体" w:hAnsi="黑体" w:eastAsia="黑体" w:cs="黑体"/>
          <w:szCs w:val="32"/>
          <w:lang w:val="en-US"/>
        </w:rPr>
        <w:t>四</w:t>
      </w:r>
      <w:r>
        <w:rPr>
          <w:rFonts w:hint="eastAsia" w:ascii="黑体" w:hAnsi="黑体" w:eastAsia="黑体" w:cs="黑体"/>
          <w:szCs w:val="32"/>
        </w:rPr>
        <w:t>、项目入库程序</w:t>
      </w:r>
    </w:p>
    <w:p>
      <w:pPr>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（一）村级项目</w:t>
      </w:r>
    </w:p>
    <w:p>
      <w:pPr>
        <w:spacing w:line="560" w:lineRule="exact"/>
        <w:ind w:firstLine="640" w:firstLineChars="200"/>
        <w:jc w:val="both"/>
        <w:rPr>
          <w:szCs w:val="32"/>
        </w:rPr>
      </w:pPr>
      <w:r>
        <w:rPr>
          <w:rFonts w:hint="eastAsia"/>
          <w:szCs w:val="32"/>
        </w:rPr>
        <w:t>1.村申报。组织召开村两委会或村民代表大会，广泛征求意见研究确定申报项目，编制入库项目申请书，在村内公示后上报至乡镇（街道）。</w:t>
      </w:r>
    </w:p>
    <w:p>
      <w:pPr>
        <w:spacing w:line="560" w:lineRule="exact"/>
        <w:ind w:firstLine="640" w:firstLineChars="200"/>
        <w:jc w:val="both"/>
        <w:rPr>
          <w:szCs w:val="32"/>
        </w:rPr>
      </w:pPr>
      <w:r>
        <w:rPr>
          <w:rFonts w:hint="eastAsia"/>
          <w:szCs w:val="32"/>
        </w:rPr>
        <w:t>相关材料：村两委会或村民代表大会讨论确定村级申报项目会议记录、项目申请书、村级公示、上报镇级报告等材料。</w:t>
      </w:r>
    </w:p>
    <w:p>
      <w:pPr>
        <w:autoSpaceDE/>
        <w:autoSpaceDN/>
        <w:spacing w:line="560" w:lineRule="exact"/>
        <w:ind w:firstLine="640" w:firstLineChars="200"/>
        <w:jc w:val="both"/>
        <w:rPr>
          <w:bCs/>
          <w:kern w:val="2"/>
          <w:szCs w:val="32"/>
          <w:lang w:val="en-US" w:bidi="ar-SA"/>
        </w:rPr>
      </w:pPr>
      <w:r>
        <w:rPr>
          <w:rFonts w:hint="eastAsia"/>
          <w:bCs/>
          <w:kern w:val="2"/>
          <w:szCs w:val="32"/>
          <w:lang w:val="en-US" w:bidi="ar-SA"/>
        </w:rPr>
        <w:t>2.镇审核。镇（街道）要对申报项目的真实性、必要性以及项目申请书主要内容进行全面审核，审核通过后报县级乡村振兴部门。</w:t>
      </w:r>
    </w:p>
    <w:p>
      <w:pPr>
        <w:spacing w:line="560" w:lineRule="exact"/>
        <w:ind w:firstLine="640" w:firstLineChars="200"/>
        <w:jc w:val="both"/>
        <w:rPr>
          <w:szCs w:val="32"/>
        </w:rPr>
      </w:pPr>
      <w:r>
        <w:rPr>
          <w:rFonts w:hint="eastAsia"/>
          <w:szCs w:val="32"/>
        </w:rPr>
        <w:t>相关材料:镇（街道）审核拟申报项目</w:t>
      </w:r>
      <w:r>
        <w:rPr>
          <w:rFonts w:hint="eastAsia"/>
          <w:szCs w:val="32"/>
          <w:lang w:val="en-US"/>
        </w:rPr>
        <w:t>的</w:t>
      </w:r>
      <w:r>
        <w:rPr>
          <w:rFonts w:hint="eastAsia"/>
          <w:szCs w:val="32"/>
        </w:rPr>
        <w:t>会议记录（纪要）、镇（街道）公示、上报县级报告等材料。</w:t>
      </w:r>
    </w:p>
    <w:p>
      <w:pPr>
        <w:autoSpaceDE/>
        <w:autoSpaceDN/>
        <w:spacing w:line="560" w:lineRule="exact"/>
        <w:ind w:firstLine="640" w:firstLineChars="200"/>
        <w:jc w:val="both"/>
        <w:rPr>
          <w:bCs/>
          <w:kern w:val="2"/>
          <w:szCs w:val="32"/>
          <w:lang w:val="en-US" w:bidi="ar-SA"/>
        </w:rPr>
      </w:pPr>
      <w:r>
        <w:rPr>
          <w:rFonts w:hint="eastAsia"/>
          <w:szCs w:val="32"/>
        </w:rPr>
        <w:t>3.县审定。</w:t>
      </w:r>
      <w:r>
        <w:rPr>
          <w:rFonts w:hint="eastAsia"/>
          <w:bCs/>
          <w:kern w:val="2"/>
          <w:szCs w:val="32"/>
          <w:lang w:val="en-US" w:bidi="ar-SA"/>
        </w:rPr>
        <w:t>县级乡村振兴部门会同相关部门对乡镇（街道）报送项目的必要性、合规性、可行性进行论证，论证通过的项目由县级乡村振兴部门报县委农业农村委员会审定后，经公示无异议，纳入项目库并予公告。</w:t>
      </w:r>
    </w:p>
    <w:p>
      <w:pPr>
        <w:autoSpaceDE/>
        <w:autoSpaceDN/>
        <w:spacing w:line="560" w:lineRule="exact"/>
        <w:ind w:firstLine="640" w:firstLineChars="200"/>
        <w:jc w:val="both"/>
        <w:rPr>
          <w:bCs/>
          <w:kern w:val="2"/>
          <w:szCs w:val="32"/>
          <w:lang w:val="en-US" w:bidi="ar-SA"/>
        </w:rPr>
      </w:pPr>
      <w:r>
        <w:rPr>
          <w:rFonts w:hint="eastAsia"/>
          <w:bCs/>
          <w:kern w:val="2"/>
          <w:szCs w:val="32"/>
          <w:lang w:val="en-US" w:bidi="ar-SA"/>
        </w:rPr>
        <w:t>相关材料：行业部门评审论证、县级审定会议记录（纪要）、县级政府门户网站公示、公告材料。</w:t>
      </w:r>
    </w:p>
    <w:p>
      <w:pPr>
        <w:spacing w:line="560" w:lineRule="exact"/>
        <w:ind w:firstLine="640" w:firstLineChars="200"/>
        <w:jc w:val="both"/>
        <w:rPr>
          <w:szCs w:val="32"/>
        </w:rPr>
      </w:pPr>
      <w:r>
        <w:rPr>
          <w:szCs w:val="32"/>
        </w:rPr>
        <w:t>1.2</w:t>
      </w:r>
      <w:r>
        <w:rPr>
          <w:rFonts w:hint="eastAsia"/>
          <w:szCs w:val="32"/>
        </w:rPr>
        <w:t>村级研究确定申报入库项目会议记录</w:t>
      </w:r>
    </w:p>
    <w:p>
      <w:pPr>
        <w:spacing w:line="560" w:lineRule="exact"/>
        <w:ind w:firstLine="640" w:firstLineChars="200"/>
        <w:jc w:val="both"/>
        <w:rPr>
          <w:szCs w:val="32"/>
        </w:rPr>
      </w:pPr>
      <w:r>
        <w:rPr>
          <w:szCs w:val="32"/>
        </w:rPr>
        <w:t>1.3</w:t>
      </w:r>
      <w:r>
        <w:rPr>
          <w:rFonts w:hint="eastAsia"/>
          <w:szCs w:val="32"/>
        </w:rPr>
        <w:t>入库项目申请书</w:t>
      </w:r>
    </w:p>
    <w:p>
      <w:pPr>
        <w:spacing w:line="560" w:lineRule="exact"/>
        <w:ind w:firstLine="640" w:firstLineChars="200"/>
        <w:jc w:val="both"/>
        <w:rPr>
          <w:szCs w:val="32"/>
        </w:rPr>
      </w:pPr>
      <w:r>
        <w:rPr>
          <w:szCs w:val="32"/>
        </w:rPr>
        <w:t>1.4</w:t>
      </w:r>
      <w:r>
        <w:rPr>
          <w:rFonts w:hint="eastAsia"/>
          <w:szCs w:val="32"/>
        </w:rPr>
        <w:t>申报入库项目村级公示</w:t>
      </w:r>
    </w:p>
    <w:p>
      <w:pPr>
        <w:spacing w:line="560" w:lineRule="exact"/>
        <w:ind w:firstLine="640" w:firstLineChars="200"/>
        <w:jc w:val="both"/>
        <w:rPr>
          <w:szCs w:val="32"/>
        </w:rPr>
      </w:pPr>
      <w:r>
        <w:rPr>
          <w:szCs w:val="32"/>
        </w:rPr>
        <w:t>1.5</w:t>
      </w:r>
      <w:r>
        <w:rPr>
          <w:rFonts w:hint="eastAsia"/>
          <w:szCs w:val="32"/>
        </w:rPr>
        <w:t>申报入库项目报镇级报告</w:t>
      </w:r>
    </w:p>
    <w:p>
      <w:pPr>
        <w:spacing w:line="560" w:lineRule="exact"/>
        <w:ind w:firstLine="640" w:firstLineChars="200"/>
        <w:jc w:val="both"/>
        <w:rPr>
          <w:szCs w:val="32"/>
        </w:rPr>
      </w:pPr>
      <w:r>
        <w:rPr>
          <w:szCs w:val="32"/>
        </w:rPr>
        <w:t>1.6</w:t>
      </w:r>
      <w:r>
        <w:rPr>
          <w:rFonts w:hint="eastAsia"/>
          <w:szCs w:val="32"/>
        </w:rPr>
        <w:t>申报入库项目镇级审核会议记录</w:t>
      </w:r>
    </w:p>
    <w:p>
      <w:pPr>
        <w:spacing w:line="560" w:lineRule="exact"/>
        <w:ind w:firstLine="640" w:firstLineChars="200"/>
        <w:jc w:val="both"/>
        <w:rPr>
          <w:szCs w:val="32"/>
        </w:rPr>
      </w:pPr>
      <w:r>
        <w:rPr>
          <w:szCs w:val="32"/>
        </w:rPr>
        <w:t>1.7</w:t>
      </w:r>
      <w:r>
        <w:rPr>
          <w:rFonts w:hint="eastAsia"/>
          <w:szCs w:val="32"/>
        </w:rPr>
        <w:t>申报入库项目报县级报告</w:t>
      </w:r>
    </w:p>
    <w:p>
      <w:pPr>
        <w:spacing w:line="560" w:lineRule="exact"/>
        <w:ind w:firstLine="640" w:firstLineChars="200"/>
        <w:jc w:val="both"/>
        <w:rPr>
          <w:szCs w:val="32"/>
        </w:rPr>
      </w:pPr>
      <w:r>
        <w:rPr>
          <w:szCs w:val="32"/>
        </w:rPr>
        <w:t>1.8</w:t>
      </w:r>
      <w:r>
        <w:rPr>
          <w:rFonts w:hint="eastAsia"/>
          <w:szCs w:val="32"/>
        </w:rPr>
        <w:t>申报入库项目县级论证意见</w:t>
      </w:r>
    </w:p>
    <w:p>
      <w:pPr>
        <w:spacing w:line="560" w:lineRule="exact"/>
        <w:ind w:firstLine="640" w:firstLineChars="200"/>
        <w:jc w:val="both"/>
        <w:rPr>
          <w:szCs w:val="32"/>
        </w:rPr>
      </w:pPr>
      <w:r>
        <w:rPr>
          <w:szCs w:val="32"/>
        </w:rPr>
        <w:t>1.9</w:t>
      </w:r>
      <w:r>
        <w:rPr>
          <w:rFonts w:hint="eastAsia"/>
          <w:szCs w:val="32"/>
        </w:rPr>
        <w:t>申报入库项目县委农业农村委员会审定意见</w:t>
      </w:r>
    </w:p>
    <w:p>
      <w:pPr>
        <w:spacing w:line="560" w:lineRule="exact"/>
        <w:ind w:firstLine="640" w:firstLineChars="200"/>
        <w:jc w:val="both"/>
        <w:rPr>
          <w:szCs w:val="32"/>
        </w:rPr>
      </w:pPr>
      <w:r>
        <w:rPr>
          <w:szCs w:val="32"/>
        </w:rPr>
        <w:t>1.10</w:t>
      </w:r>
      <w:r>
        <w:rPr>
          <w:rFonts w:hint="eastAsia"/>
          <w:szCs w:val="32"/>
        </w:rPr>
        <w:t>拟入库项目县级公示</w:t>
      </w:r>
    </w:p>
    <w:p>
      <w:pPr>
        <w:spacing w:line="560" w:lineRule="exact"/>
        <w:ind w:firstLine="640" w:firstLineChars="200"/>
        <w:jc w:val="both"/>
        <w:rPr>
          <w:lang w:val="en-US"/>
        </w:rPr>
      </w:pPr>
      <w:r>
        <w:rPr>
          <w:szCs w:val="32"/>
        </w:rPr>
        <w:t>1.11</w:t>
      </w:r>
      <w:r>
        <w:rPr>
          <w:rFonts w:hint="eastAsia"/>
          <w:szCs w:val="32"/>
        </w:rPr>
        <w:t>入库项目县级公告</w:t>
      </w:r>
    </w:p>
    <w:p>
      <w:pPr>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（二）镇级、县级项目</w:t>
      </w:r>
    </w:p>
    <w:p>
      <w:pPr>
        <w:spacing w:line="560" w:lineRule="exact"/>
        <w:ind w:firstLine="640" w:firstLineChars="200"/>
        <w:jc w:val="both"/>
        <w:rPr>
          <w:szCs w:val="32"/>
        </w:rPr>
      </w:pPr>
      <w:r>
        <w:rPr>
          <w:rFonts w:hint="eastAsia"/>
          <w:szCs w:val="32"/>
        </w:rPr>
        <w:t>镇</w:t>
      </w:r>
      <w:r>
        <w:rPr>
          <w:szCs w:val="32"/>
        </w:rPr>
        <w:t>级</w:t>
      </w:r>
      <w:r>
        <w:rPr>
          <w:rFonts w:hint="eastAsia"/>
          <w:szCs w:val="32"/>
        </w:rPr>
        <w:t>、县级项目，由项目单位提出项目建议，征求相关村意见后，编制入库项目申请书，并在相关村进行公示后，报送县级乡村振兴部门。具体程序：申报入库镇级项目经镇级政府会议审核，申报入库镇级（县级）项目经项目覆盖村会议研究同意并在村内公示、报县级报告、县级论证评审意见、县级审定意见、县级公示、县级公告。</w:t>
      </w:r>
    </w:p>
    <w:p>
      <w:pPr>
        <w:spacing w:line="560" w:lineRule="exact"/>
        <w:ind w:firstLine="640" w:firstLineChars="200"/>
        <w:jc w:val="both"/>
        <w:rPr>
          <w:rFonts w:ascii="黑体" w:hAnsi="黑体" w:eastAsia="黑体" w:cs="黑体"/>
          <w:szCs w:val="32"/>
        </w:rPr>
      </w:pPr>
      <w:r>
        <w:rPr>
          <w:rFonts w:hint="eastAsia" w:ascii="黑体" w:hAnsi="黑体" w:eastAsia="黑体" w:cs="黑体"/>
          <w:szCs w:val="32"/>
          <w:lang w:val="en-US"/>
        </w:rPr>
        <w:t>五</w:t>
      </w:r>
      <w:r>
        <w:rPr>
          <w:rFonts w:hint="eastAsia" w:ascii="黑体" w:hAnsi="黑体" w:eastAsia="黑体" w:cs="黑体"/>
          <w:szCs w:val="32"/>
        </w:rPr>
        <w:t>、相关工作要求</w:t>
      </w:r>
    </w:p>
    <w:p>
      <w:pPr>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(一)高度重视</w:t>
      </w:r>
    </w:p>
    <w:p>
      <w:pPr>
        <w:spacing w:line="560" w:lineRule="exact"/>
        <w:ind w:firstLine="640" w:firstLineChars="200"/>
        <w:jc w:val="both"/>
        <w:rPr>
          <w:szCs w:val="32"/>
          <w:lang w:val="en-US"/>
        </w:rPr>
      </w:pPr>
      <w:r>
        <w:rPr>
          <w:rFonts w:hint="eastAsia"/>
          <w:szCs w:val="32"/>
          <w:lang w:val="en-US"/>
        </w:rPr>
        <w:t>项目库建设要严格落实“四个不摘”要求，保持总体稳定，聚焦重点，将巩固拓展脱贫攻坚成果和衔接推进乡村振兴放在突出位置，入库项目申报要坚持群众参与，充分吸取群众意愿，实行群众民主议事决策机制。各镇街区和县级行业主管部门要层层压实责任体系，确保项目申报入库程序履行完备，资料真实可靠，项目实施质量高、绩效优、带动力强，能顺利和完整实现巩固拓展脱贫攻坚成果和乡村振兴有效衔接的绩效目标。</w:t>
      </w:r>
    </w:p>
    <w:p>
      <w:pPr>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val="en-US"/>
        </w:rPr>
        <w:t>二）</w:t>
      </w:r>
      <w:r>
        <w:rPr>
          <w:rFonts w:hint="eastAsia" w:ascii="楷体_GB2312" w:hAnsi="楷体_GB2312" w:eastAsia="楷体_GB2312" w:cs="楷体_GB2312"/>
          <w:szCs w:val="32"/>
        </w:rPr>
        <w:t>精准筛选</w:t>
      </w:r>
    </w:p>
    <w:p>
      <w:pPr>
        <w:spacing w:line="560" w:lineRule="exact"/>
        <w:ind w:firstLine="640" w:firstLineChars="200"/>
        <w:jc w:val="both"/>
        <w:rPr>
          <w:szCs w:val="32"/>
          <w:lang w:val="en-US"/>
        </w:rPr>
      </w:pPr>
      <w:r>
        <w:rPr>
          <w:rFonts w:hint="eastAsia"/>
          <w:szCs w:val="32"/>
          <w:lang w:val="en-US"/>
        </w:rPr>
        <w:t>各镇街区、县级行业主管部门要综合考虑并结合实际，按照国家、省、市和县级关于衔接资金使用方向的相关政策规定科学策划、规划项目，精准确定申报项目，严禁申报涉及负面清单项目。</w:t>
      </w:r>
      <w:r>
        <w:rPr>
          <w:rFonts w:hint="eastAsia" w:cs="仿宋_GB2312"/>
          <w:sz w:val="32"/>
          <w:szCs w:val="32"/>
          <w:highlight w:val="none"/>
          <w:lang w:val="en-US" w:eastAsia="zh-CN"/>
        </w:rPr>
        <w:t>特别是乡村建设行动类、巩固三保障成果类、产业发展类项目中的加工流通项目和配套设施项目，要严格按照要求储备入库。</w:t>
      </w:r>
      <w:r>
        <w:rPr>
          <w:rFonts w:hint="eastAsia"/>
          <w:szCs w:val="32"/>
          <w:lang w:val="en-US"/>
        </w:rPr>
        <w:t>已有财政性项目资金来源、渠道或已安排财政性资金的项目不得重复申报衔接资金，项目不得入库。县级行业主管部门要编制本行业衔接资金项目入库指南，明确衔接资金支持</w:t>
      </w:r>
      <w:r>
        <w:rPr>
          <w:rFonts w:hint="eastAsia"/>
          <w:szCs w:val="32"/>
          <w:lang w:val="en-US" w:eastAsia="zh-CN"/>
        </w:rPr>
        <w:t>方向</w:t>
      </w:r>
      <w:r>
        <w:rPr>
          <w:rFonts w:hint="eastAsia"/>
          <w:szCs w:val="32"/>
          <w:lang w:val="en-US"/>
        </w:rPr>
        <w:t>、项目支持对象、项目入库程序等有关要求，推动项目库共建共享。</w:t>
      </w:r>
    </w:p>
    <w:p>
      <w:pPr>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val="en-US"/>
        </w:rPr>
        <w:t>三）</w:t>
      </w:r>
      <w:r>
        <w:rPr>
          <w:rFonts w:hint="eastAsia" w:ascii="楷体_GB2312" w:hAnsi="楷体_GB2312" w:eastAsia="楷体_GB2312" w:cs="楷体_GB2312"/>
          <w:szCs w:val="32"/>
        </w:rPr>
        <w:t>动态管理</w:t>
      </w:r>
    </w:p>
    <w:p>
      <w:pPr>
        <w:spacing w:line="560" w:lineRule="exact"/>
        <w:ind w:firstLine="640" w:firstLineChars="200"/>
        <w:jc w:val="both"/>
        <w:rPr>
          <w:szCs w:val="32"/>
        </w:rPr>
      </w:pPr>
      <w:r>
        <w:rPr>
          <w:rFonts w:hint="eastAsia"/>
          <w:szCs w:val="32"/>
          <w:lang w:val="en-US"/>
        </w:rPr>
        <w:t>入库项目实行动态管理，有进有出。当年项目入库工作要于上年第四季度完成，避免出现“资金等项目”的问题。</w:t>
      </w:r>
      <w:r>
        <w:rPr>
          <w:rFonts w:hint="eastAsia"/>
          <w:szCs w:val="32"/>
        </w:rPr>
        <w:t>以前年度入库尚未实施的项目中不符合衔接资金使用方向和涉及负面清单、重复申报衔接资金的项目予以清除出库;对因政策调整或其他情况导致难以实施的项目，经县级审定后及时从项目库中清退。</w:t>
      </w:r>
    </w:p>
    <w:p>
      <w:pPr>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val="en-US"/>
        </w:rPr>
        <w:t>四）</w:t>
      </w:r>
      <w:r>
        <w:rPr>
          <w:rFonts w:hint="eastAsia" w:ascii="楷体_GB2312" w:hAnsi="楷体_GB2312" w:eastAsia="楷体_GB2312" w:cs="楷体_GB2312"/>
          <w:szCs w:val="32"/>
        </w:rPr>
        <w:t>严格纪律</w:t>
      </w:r>
    </w:p>
    <w:p>
      <w:pPr>
        <w:spacing w:line="560" w:lineRule="exact"/>
        <w:ind w:firstLine="640" w:firstLineChars="200"/>
        <w:jc w:val="both"/>
        <w:rPr>
          <w:szCs w:val="32"/>
        </w:rPr>
      </w:pPr>
      <w:r>
        <w:rPr>
          <w:rFonts w:hint="eastAsia"/>
          <w:szCs w:val="32"/>
        </w:rPr>
        <w:t>在项目申报入库全过程中，各级干部及相关工作人员要坚持原则、从严把握政策标准，严守廉政底线，不得优亲厚友、徇私舞弊、弄虚作假和失职渎职，禁止重复申报、多头申报项目套取、骗取财政衔接资金，一经发现则依纪依法移交相关部门追究责任。要同步做好信访稳定工作，广泛征求群众意见，耐心回应群众反映和关注问题。要坚持项目申报入库“三公示一公告”制度，充分发挥“</w:t>
      </w:r>
      <w:r>
        <w:rPr>
          <w:rFonts w:hint="eastAsia"/>
          <w:szCs w:val="32"/>
          <w:lang w:val="en-US"/>
        </w:rPr>
        <w:t>12345</w:t>
      </w:r>
      <w:r>
        <w:rPr>
          <w:rFonts w:hint="eastAsia"/>
          <w:szCs w:val="32"/>
        </w:rPr>
        <w:t>”</w:t>
      </w:r>
      <w:r>
        <w:rPr>
          <w:rFonts w:hint="eastAsia"/>
          <w:szCs w:val="32"/>
          <w:lang w:eastAsia="zh-CN"/>
        </w:rPr>
        <w:t>等</w:t>
      </w:r>
      <w:r>
        <w:rPr>
          <w:rFonts w:hint="eastAsia"/>
          <w:szCs w:val="32"/>
        </w:rPr>
        <w:t>监督举报平台和纪检监察部门监督作用，确保项目申报入库阳光下操作。</w:t>
      </w:r>
    </w:p>
    <w:p>
      <w:pPr>
        <w:pStyle w:val="2"/>
        <w:spacing w:line="560" w:lineRule="exact"/>
        <w:rPr>
          <w:szCs w:val="32"/>
        </w:rPr>
      </w:pPr>
    </w:p>
    <w:p/>
    <w:p>
      <w:pPr>
        <w:rPr>
          <w:szCs w:val="32"/>
        </w:rPr>
      </w:pPr>
    </w:p>
    <w:p>
      <w:pPr>
        <w:pStyle w:val="2"/>
      </w:pPr>
    </w:p>
    <w:p/>
    <w:p>
      <w:pPr>
        <w:pStyle w:val="2"/>
      </w:pPr>
    </w:p>
    <w:p/>
    <w:p>
      <w:pPr>
        <w:pStyle w:val="2"/>
      </w:pPr>
    </w:p>
    <w:tbl>
      <w:tblPr>
        <w:tblStyle w:val="6"/>
        <w:tblpPr w:leftFromText="180" w:rightFromText="180" w:vertAnchor="text" w:horzAnchor="page" w:tblpX="1446" w:tblpY="1303"/>
        <w:tblOverlap w:val="never"/>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335" w:type="dxa"/>
            <w:tcBorders>
              <w:left w:val="nil"/>
              <w:right w:val="nil"/>
            </w:tcBorders>
            <w:vAlign w:val="center"/>
          </w:tcPr>
          <w:p>
            <w:pPr>
              <w:spacing w:line="560" w:lineRule="exact"/>
              <w:rPr>
                <w:rFonts w:ascii="宋体" w:hAnsi="宋体"/>
                <w:szCs w:val="32"/>
              </w:rPr>
            </w:pPr>
            <w:r>
              <w:rPr>
                <w:rFonts w:hint="eastAsia"/>
                <w:szCs w:val="32"/>
                <w:lang w:val="en-US"/>
              </w:rPr>
              <w:t xml:space="preserve">安丘市乡村振兴局 </w:t>
            </w:r>
            <w:r>
              <w:rPr>
                <w:szCs w:val="32"/>
                <w:lang w:val="en-US"/>
              </w:rPr>
              <w:t xml:space="preserve">                     </w:t>
            </w:r>
            <w:r>
              <w:rPr>
                <w:rFonts w:hint="eastAsia"/>
                <w:szCs w:val="32"/>
                <w:lang w:val="en-US"/>
              </w:rPr>
              <w:t>202</w:t>
            </w:r>
            <w:r>
              <w:rPr>
                <w:rFonts w:hint="eastAsia"/>
                <w:szCs w:val="32"/>
                <w:lang w:val="en-US" w:eastAsia="zh-CN"/>
              </w:rPr>
              <w:t>4</w:t>
            </w:r>
            <w:r>
              <w:rPr>
                <w:rFonts w:hint="eastAsia"/>
                <w:szCs w:val="32"/>
                <w:lang w:val="en-US"/>
              </w:rPr>
              <w:t>年</w:t>
            </w:r>
            <w:r>
              <w:rPr>
                <w:rFonts w:hint="eastAsia"/>
                <w:szCs w:val="32"/>
                <w:lang w:val="en-US" w:eastAsia="zh-CN"/>
              </w:rPr>
              <w:t>8</w:t>
            </w:r>
            <w:r>
              <w:rPr>
                <w:rFonts w:hint="eastAsia"/>
                <w:szCs w:val="32"/>
                <w:lang w:val="en-US"/>
              </w:rPr>
              <w:t>月</w:t>
            </w:r>
            <w:r>
              <w:rPr>
                <w:rFonts w:hint="eastAsia"/>
                <w:szCs w:val="32"/>
                <w:lang w:val="en-US" w:eastAsia="zh-CN"/>
              </w:rPr>
              <w:t>12</w:t>
            </w:r>
            <w:r>
              <w:rPr>
                <w:rFonts w:hint="eastAsia"/>
                <w:szCs w:val="32"/>
                <w:lang w:val="en-US"/>
              </w:rPr>
              <w:t>日印发</w:t>
            </w:r>
          </w:p>
        </w:tc>
      </w:tr>
    </w:tbl>
    <w:p>
      <w:pPr>
        <w:pStyle w:val="2"/>
        <w:rPr>
          <w:b w:val="0"/>
          <w:bCs/>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33007300"/>
      <w:docPartObj>
        <w:docPartGallery w:val="autotext"/>
      </w:docPartObj>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2</w:t>
        </w:r>
        <w:r>
          <w:rPr>
            <w:sz w:val="21"/>
            <w:szCs w:val="21"/>
          </w:rPr>
          <w:fldChar w:fldCharType="end"/>
        </w:r>
      </w:p>
    </w:sdtContent>
  </w:sdt>
  <w:p>
    <w:pPr>
      <w:pStyle w:val="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NjBlYWY3NWJkZGVkOWQ0ZTBhOWMxNTZhY2UwODQifQ=="/>
  </w:docVars>
  <w:rsids>
    <w:rsidRoot w:val="00CA4457"/>
    <w:rsid w:val="008D716D"/>
    <w:rsid w:val="00CA4457"/>
    <w:rsid w:val="00F4333A"/>
    <w:rsid w:val="01153359"/>
    <w:rsid w:val="024B7D43"/>
    <w:rsid w:val="02E5156E"/>
    <w:rsid w:val="036D5F3B"/>
    <w:rsid w:val="058F1B75"/>
    <w:rsid w:val="065C23E7"/>
    <w:rsid w:val="08924FFD"/>
    <w:rsid w:val="09BE3D3A"/>
    <w:rsid w:val="0B690BFA"/>
    <w:rsid w:val="0BE5201B"/>
    <w:rsid w:val="0CAD6ED7"/>
    <w:rsid w:val="0EC26C3B"/>
    <w:rsid w:val="0EF440E4"/>
    <w:rsid w:val="11F84633"/>
    <w:rsid w:val="12620C51"/>
    <w:rsid w:val="12E06F9A"/>
    <w:rsid w:val="144D7498"/>
    <w:rsid w:val="174B23C5"/>
    <w:rsid w:val="183E48D5"/>
    <w:rsid w:val="189E2F4C"/>
    <w:rsid w:val="1B7E1574"/>
    <w:rsid w:val="1D372FB2"/>
    <w:rsid w:val="1D3B7AD6"/>
    <w:rsid w:val="1E9A18CE"/>
    <w:rsid w:val="1F552C1D"/>
    <w:rsid w:val="1F8552E9"/>
    <w:rsid w:val="2091105D"/>
    <w:rsid w:val="248837F2"/>
    <w:rsid w:val="278703E2"/>
    <w:rsid w:val="27DC1A6F"/>
    <w:rsid w:val="29F67892"/>
    <w:rsid w:val="2A0E5049"/>
    <w:rsid w:val="2A17288F"/>
    <w:rsid w:val="2B6C4521"/>
    <w:rsid w:val="2CA86A82"/>
    <w:rsid w:val="2D6052ED"/>
    <w:rsid w:val="2D9C0FF4"/>
    <w:rsid w:val="2E292084"/>
    <w:rsid w:val="2F816708"/>
    <w:rsid w:val="2FD87AD3"/>
    <w:rsid w:val="326C00F7"/>
    <w:rsid w:val="33B54826"/>
    <w:rsid w:val="34590134"/>
    <w:rsid w:val="369A7220"/>
    <w:rsid w:val="37D065BF"/>
    <w:rsid w:val="37D351ED"/>
    <w:rsid w:val="37F334CF"/>
    <w:rsid w:val="38053217"/>
    <w:rsid w:val="38DA593F"/>
    <w:rsid w:val="3AD55B46"/>
    <w:rsid w:val="3B0F3E4E"/>
    <w:rsid w:val="3BD763DC"/>
    <w:rsid w:val="3E88226F"/>
    <w:rsid w:val="3F966B6B"/>
    <w:rsid w:val="423A7962"/>
    <w:rsid w:val="436525B0"/>
    <w:rsid w:val="46145E53"/>
    <w:rsid w:val="46327101"/>
    <w:rsid w:val="478C0A03"/>
    <w:rsid w:val="480A27EB"/>
    <w:rsid w:val="48142BD5"/>
    <w:rsid w:val="48145118"/>
    <w:rsid w:val="4828026A"/>
    <w:rsid w:val="48E911F2"/>
    <w:rsid w:val="48FB4F22"/>
    <w:rsid w:val="48FF3D59"/>
    <w:rsid w:val="49813D70"/>
    <w:rsid w:val="498A2AAF"/>
    <w:rsid w:val="4B157C9E"/>
    <w:rsid w:val="4C5E200F"/>
    <w:rsid w:val="4C6905DF"/>
    <w:rsid w:val="4C6F469D"/>
    <w:rsid w:val="4CF5716F"/>
    <w:rsid w:val="4DF53A39"/>
    <w:rsid w:val="4F0040A4"/>
    <w:rsid w:val="4FD75F42"/>
    <w:rsid w:val="504639A3"/>
    <w:rsid w:val="50E6226E"/>
    <w:rsid w:val="519861F6"/>
    <w:rsid w:val="52662470"/>
    <w:rsid w:val="52836F1D"/>
    <w:rsid w:val="53786595"/>
    <w:rsid w:val="563B042D"/>
    <w:rsid w:val="577D0C76"/>
    <w:rsid w:val="58B543EC"/>
    <w:rsid w:val="599B5649"/>
    <w:rsid w:val="5C8E74B2"/>
    <w:rsid w:val="5D1E16A7"/>
    <w:rsid w:val="5EE5562D"/>
    <w:rsid w:val="5F71411F"/>
    <w:rsid w:val="5F87455C"/>
    <w:rsid w:val="615429F7"/>
    <w:rsid w:val="617A7EF1"/>
    <w:rsid w:val="62CA230A"/>
    <w:rsid w:val="63777B87"/>
    <w:rsid w:val="66ED394E"/>
    <w:rsid w:val="685337CA"/>
    <w:rsid w:val="68900AB4"/>
    <w:rsid w:val="6B526487"/>
    <w:rsid w:val="6C057806"/>
    <w:rsid w:val="6F757977"/>
    <w:rsid w:val="6FDB2297"/>
    <w:rsid w:val="6FE71E1F"/>
    <w:rsid w:val="70CB6663"/>
    <w:rsid w:val="714E219F"/>
    <w:rsid w:val="71E61169"/>
    <w:rsid w:val="736E5255"/>
    <w:rsid w:val="73894D2B"/>
    <w:rsid w:val="744712C7"/>
    <w:rsid w:val="764932CC"/>
    <w:rsid w:val="76CF7192"/>
    <w:rsid w:val="77104560"/>
    <w:rsid w:val="775742FF"/>
    <w:rsid w:val="77686933"/>
    <w:rsid w:val="7803768A"/>
    <w:rsid w:val="7D4141FE"/>
    <w:rsid w:val="7E434DB6"/>
    <w:rsid w:val="7F1F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600" w:lineRule="exact"/>
    </w:pPr>
    <w:rPr>
      <w:rFonts w:ascii="仿宋_GB2312" w:hAnsi="仿宋_GB2312" w:eastAsia="仿宋_GB2312" w:cs="仿宋_GB2312"/>
      <w:sz w:val="32"/>
      <w:szCs w:val="22"/>
      <w:lang w:val="zh-CN" w:eastAsia="zh-CN" w:bidi="zh-CN"/>
    </w:rPr>
  </w:style>
  <w:style w:type="paragraph" w:styleId="2">
    <w:name w:val="heading 3"/>
    <w:basedOn w:val="1"/>
    <w:next w:val="1"/>
    <w:unhideWhenUsed/>
    <w:qFormat/>
    <w:uiPriority w:val="9"/>
    <w:pPr>
      <w:keepNext/>
      <w:keepLines/>
      <w:spacing w:before="260" w:after="260" w:line="413" w:lineRule="auto"/>
      <w:outlineLvl w:val="2"/>
    </w:pPr>
    <w:rPr>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11"/>
    </w:pPr>
    <w:rPr>
      <w:szCs w:val="32"/>
    </w:rPr>
  </w:style>
  <w:style w:type="paragraph" w:styleId="4">
    <w:name w:val="footer"/>
    <w:basedOn w:val="1"/>
    <w:link w:val="9"/>
    <w:qFormat/>
    <w:uiPriority w:val="99"/>
    <w:pPr>
      <w:tabs>
        <w:tab w:val="center" w:pos="4153"/>
        <w:tab w:val="right" w:pos="8306"/>
      </w:tabs>
      <w:snapToGrid w:val="0"/>
      <w:spacing w:line="240" w:lineRule="atLeas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0"/>
    <w:rPr>
      <w:rFonts w:ascii="仿宋_GB2312" w:hAnsi="仿宋_GB2312" w:eastAsia="仿宋_GB2312" w:cs="仿宋_GB2312"/>
      <w:sz w:val="18"/>
      <w:szCs w:val="18"/>
      <w:lang w:val="zh-CN" w:bidi="zh-CN"/>
    </w:rPr>
  </w:style>
  <w:style w:type="character" w:customStyle="1" w:styleId="9">
    <w:name w:val="页脚 字符"/>
    <w:basedOn w:val="7"/>
    <w:link w:val="4"/>
    <w:qFormat/>
    <w:uiPriority w:val="99"/>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4560</Words>
  <Characters>4634</Characters>
  <Lines>32</Lines>
  <Paragraphs>9</Paragraphs>
  <TotalTime>3</TotalTime>
  <ScaleCrop>false</ScaleCrop>
  <LinksUpToDate>false</LinksUpToDate>
  <CharactersWithSpaces>4658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2022-10-12T02:36:00Z</dcterms:created>
  <dc:creator>Administrator</dc:creator>
  <cp:lastModifiedBy>Administrator</cp:lastModifiedBy>
  <cp:lastPrinted>2024-08-12T01:42:00Z</cp:lastPrinted>
  <dcterms:modified xsi:type="dcterms:W3CDTF">2024-08-12T06:35:13Z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5DD72755935A44C2BB8EFB5E59042137_12</vt:lpwstr>
  </property>
</Properties>
</file>