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lang w:eastAsia="zh-CN"/>
        </w:rPr>
        <w:t>【材料解读】解读</w:t>
      </w:r>
      <w:r>
        <w:rPr>
          <w:rFonts w:hint="eastAsia" w:ascii="文星标宋" w:hAnsi="文星标宋" w:eastAsia="文星标宋" w:cs="文星标宋"/>
          <w:sz w:val="44"/>
          <w:szCs w:val="44"/>
        </w:rPr>
        <w:t>《</w:t>
      </w:r>
      <w:r>
        <w:rPr>
          <w:rFonts w:hint="eastAsia" w:ascii="方正小标宋简体" w:eastAsia="方正小标宋简体"/>
          <w:color w:val="auto"/>
          <w:sz w:val="44"/>
          <w:szCs w:val="44"/>
          <w:lang w:eastAsia="zh-CN"/>
        </w:rPr>
        <w:t>安丘市应急管理局</w:t>
      </w:r>
      <w:r>
        <w:rPr>
          <w:rFonts w:hint="eastAsia" w:ascii="方正小标宋简体" w:eastAsia="方正小标宋简体"/>
          <w:color w:val="auto"/>
          <w:sz w:val="44"/>
          <w:szCs w:val="44"/>
          <w:lang w:val="en-US" w:eastAsia="zh-CN"/>
        </w:rPr>
        <w:t>2019年</w:t>
      </w:r>
      <w:r>
        <w:rPr>
          <w:rFonts w:hint="eastAsia" w:ascii="方正小标宋简体" w:eastAsia="方正小标宋简体"/>
          <w:color w:val="auto"/>
          <w:sz w:val="44"/>
          <w:szCs w:val="44"/>
        </w:rPr>
        <w:t>政府信息公开工作年度报告</w:t>
      </w:r>
      <w:r>
        <w:rPr>
          <w:rFonts w:hint="eastAsia" w:ascii="文星标宋" w:hAnsi="文星标宋" w:eastAsia="文星标宋" w:cs="文星标宋"/>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日，市</w:t>
      </w:r>
      <w:r>
        <w:rPr>
          <w:rFonts w:hint="eastAsia" w:ascii="仿宋_GB2312" w:hAnsi="仿宋_GB2312" w:eastAsia="仿宋_GB2312" w:cs="仿宋_GB2312"/>
          <w:sz w:val="32"/>
          <w:szCs w:val="32"/>
          <w:lang w:eastAsia="zh-CN"/>
        </w:rPr>
        <w:t>应急管理局印发了</w:t>
      </w:r>
      <w:r>
        <w:rPr>
          <w:rFonts w:hint="eastAsia" w:ascii="仿宋_GB2312" w:hAnsi="仿宋_GB2312" w:eastAsia="仿宋_GB2312" w:cs="仿宋_GB2312"/>
          <w:sz w:val="32"/>
          <w:szCs w:val="32"/>
        </w:rPr>
        <w:t>《安丘市应急管理局2019年政府信息公开工作年度报告》，并在安丘市人民政府门户网站向社会公开发布。该报告全面总结了我局2019年政府信息与政务公开工作取得的成绩，指出了存在的主要问题与差距，提出了2020年改进措施，现对该报告作出如下解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黑体" w:hAnsi="宋体" w:eastAsia="黑体" w:cs="黑体"/>
          <w:i w:val="0"/>
          <w:caps w:val="0"/>
          <w:color w:val="333333"/>
          <w:spacing w:val="0"/>
          <w:sz w:val="32"/>
          <w:szCs w:val="32"/>
          <w:shd w:val="clear" w:fill="FFFFFF"/>
        </w:rPr>
      </w:pPr>
      <w:r>
        <w:rPr>
          <w:rFonts w:ascii="微软雅黑" w:hAnsi="微软雅黑" w:eastAsia="微软雅黑" w:cs="微软雅黑"/>
          <w:i w:val="0"/>
          <w:caps w:val="0"/>
          <w:color w:val="333333"/>
          <w:spacing w:val="0"/>
          <w:sz w:val="24"/>
          <w:szCs w:val="24"/>
          <w:shd w:val="clear" w:fill="FFFFFF"/>
        </w:rPr>
        <w:t> </w:t>
      </w:r>
      <w:r>
        <w:rPr>
          <w:rFonts w:ascii="黑体" w:hAnsi="宋体" w:eastAsia="黑体" w:cs="黑体"/>
          <w:i w:val="0"/>
          <w:caps w:val="0"/>
          <w:color w:val="333333"/>
          <w:spacing w:val="0"/>
          <w:sz w:val="32"/>
          <w:szCs w:val="32"/>
          <w:shd w:val="clear" w:fill="FFFFFF"/>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根据《中华人民共和国政府信息公开条例》、《山东省政府信息公开办法》和安丘市人民政府办公室《关于做好2019年政府信息公开工作年度报告编制发布和报送工作的通知》要求，</w:t>
      </w:r>
      <w:r>
        <w:rPr>
          <w:rFonts w:hint="eastAsia" w:ascii="仿宋_GB2312" w:hAnsi="仿宋_GB2312" w:eastAsia="仿宋_GB2312" w:cs="仿宋_GB2312"/>
          <w:i w:val="0"/>
          <w:caps w:val="0"/>
          <w:color w:val="auto"/>
          <w:spacing w:val="0"/>
          <w:sz w:val="32"/>
          <w:szCs w:val="32"/>
          <w:shd w:val="clear" w:fill="FFFFFF"/>
          <w:lang w:eastAsia="zh-CN"/>
        </w:rPr>
        <w:t>结合本单位实际，</w:t>
      </w:r>
      <w:r>
        <w:rPr>
          <w:rFonts w:hint="eastAsia" w:ascii="仿宋_GB2312" w:hAnsi="仿宋_GB2312" w:eastAsia="仿宋_GB2312" w:cs="仿宋_GB2312"/>
          <w:i w:val="0"/>
          <w:caps w:val="0"/>
          <w:color w:val="auto"/>
          <w:spacing w:val="0"/>
          <w:sz w:val="32"/>
          <w:szCs w:val="32"/>
          <w:shd w:val="clear" w:fill="FFFFFF"/>
        </w:rPr>
        <w:t>特编制2019年安丘市应急</w:t>
      </w:r>
      <w:r>
        <w:rPr>
          <w:rFonts w:hint="eastAsia" w:ascii="仿宋_GB2312" w:hAnsi="仿宋_GB2312" w:eastAsia="仿宋_GB2312" w:cs="仿宋_GB2312"/>
          <w:i w:val="0"/>
          <w:caps w:val="0"/>
          <w:color w:val="auto"/>
          <w:spacing w:val="0"/>
          <w:sz w:val="32"/>
          <w:szCs w:val="32"/>
          <w:shd w:val="clear" w:fill="FFFFFF"/>
          <w:lang w:eastAsia="zh-CN"/>
        </w:rPr>
        <w:t>管理局</w:t>
      </w:r>
      <w:r>
        <w:rPr>
          <w:rFonts w:hint="eastAsia" w:ascii="仿宋_GB2312" w:hAnsi="仿宋_GB2312" w:eastAsia="仿宋_GB2312" w:cs="仿宋_GB2312"/>
          <w:i w:val="0"/>
          <w:caps w:val="0"/>
          <w:color w:val="auto"/>
          <w:spacing w:val="0"/>
          <w:sz w:val="32"/>
          <w:szCs w:val="32"/>
          <w:shd w:val="clear" w:fill="FFFFFF"/>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文星黑体" w:hAnsi="文星黑体" w:eastAsia="文星黑体" w:cs="文星黑体"/>
          <w:i w:val="0"/>
          <w:caps w:val="0"/>
          <w:color w:val="auto"/>
          <w:spacing w:val="0"/>
          <w:sz w:val="32"/>
          <w:szCs w:val="32"/>
          <w:shd w:val="clear" w:fill="FFFFFF"/>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rPr>
      </w:pPr>
      <w:r>
        <w:rPr>
          <w:rFonts w:ascii="仿宋_GB2312" w:hAnsi="宋体" w:eastAsia="仿宋_GB2312" w:cs="仿宋_GB2312"/>
          <w:i w:val="0"/>
          <w:caps w:val="0"/>
          <w:color w:val="auto"/>
          <w:spacing w:val="0"/>
          <w:sz w:val="32"/>
          <w:szCs w:val="32"/>
          <w:shd w:val="clear" w:fill="FFFFFF"/>
        </w:rPr>
        <w:t>本报告内容包括</w:t>
      </w:r>
      <w:r>
        <w:rPr>
          <w:rFonts w:hint="eastAsia" w:ascii="仿宋_GB2312" w:hAnsi="宋体" w:eastAsia="仿宋_GB2312" w:cs="仿宋_GB2312"/>
          <w:i w:val="0"/>
          <w:caps w:val="0"/>
          <w:color w:val="auto"/>
          <w:spacing w:val="0"/>
          <w:sz w:val="32"/>
          <w:szCs w:val="32"/>
          <w:shd w:val="clear" w:fill="FFFFFF"/>
          <w:lang w:eastAsia="zh-CN"/>
        </w:rPr>
        <w:t>六部分：</w:t>
      </w:r>
      <w:r>
        <w:rPr>
          <w:rFonts w:ascii="仿宋_GB2312" w:hAnsi="宋体" w:eastAsia="仿宋_GB2312" w:cs="仿宋_GB2312"/>
          <w:i w:val="0"/>
          <w:caps w:val="0"/>
          <w:color w:val="auto"/>
          <w:spacing w:val="0"/>
          <w:sz w:val="32"/>
          <w:szCs w:val="32"/>
          <w:shd w:val="clear" w:fill="FFFFFF"/>
        </w:rPr>
        <w:t>总体情况、主动公开政府信息情况、收到和处理政府信息公开申请情况、政府信息公开行政复议和行政诉讼情况、存在的主要问题及改进情况、其他需要报告的事项等六部分。本报告中所列数据统计期限自</w:t>
      </w:r>
      <w:r>
        <w:rPr>
          <w:rFonts w:hint="eastAsia" w:ascii="仿宋_GB2312" w:hAnsi="宋体" w:eastAsia="仿宋_GB2312" w:cs="仿宋_GB2312"/>
          <w:i w:val="0"/>
          <w:caps w:val="0"/>
          <w:color w:val="auto"/>
          <w:spacing w:val="0"/>
          <w:sz w:val="32"/>
          <w:szCs w:val="32"/>
          <w:shd w:val="clear" w:fill="FFFFFF"/>
        </w:rPr>
        <w:t>2019年1月1日起至2019年12月31日止。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信息公开情况度。</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公开重点领域信息（安全生产监管、防灾减灾救灾、财政审计）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政府信息共</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依申请公开情况。</w:t>
      </w:r>
      <w:r>
        <w:rPr>
          <w:rFonts w:hint="eastAsia" w:ascii="仿宋_GB2312" w:hAnsi="仿宋_GB2312" w:eastAsia="仿宋_GB2312" w:cs="仿宋_GB2312"/>
          <w:color w:val="auto"/>
          <w:sz w:val="32"/>
          <w:szCs w:val="32"/>
          <w:lang w:val="en-US" w:eastAsia="zh-CN"/>
        </w:rPr>
        <w:t>2019年共收到依申请公开2件，全部按照要求在规定时间内对政府信息公开申请予以答复。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府信息管理情况。市应急管理局成立由局主要负责人任组长的政府信息公开工作领导小组，设立办公室负责政府信息公开工作的统筹安排，完善制定了信息公开保密和审查制度，制订了《安丘市应急管理局2019年政务公开重点工作任务分工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平台建设情况。以安丘市政府门户网站为政府信息公开的第一平台，加大了网上公开力度。设立了“安丘市安全生产”政务微信公众号，公开了举报监督电话。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监督保障情况。将政府信息公开工作纳入全年工作任务目标，将公开任务分解到各科室，组织不定期考核检查，确保政府信息公开工作落到实处。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人大代表建议和政协提案办理情况。20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年，市应急管理局未收到人大代表建议和政协委员提案。</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主动公开政府信息情况</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1083"/>
        <w:gridCol w:w="23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noWrap w:val="0"/>
            <w:vAlign w:val="center"/>
          </w:tcPr>
          <w:p>
            <w:pPr>
              <w:spacing w:line="560" w:lineRule="exact"/>
              <w:jc w:val="center"/>
              <w:rPr>
                <w:rFonts w:hint="eastAsia" w:ascii="宋体" w:hAnsi="宋体"/>
                <w:color w:val="auto"/>
                <w:sz w:val="24"/>
              </w:rPr>
            </w:pPr>
            <w:r>
              <w:rPr>
                <w:rFonts w:hint="eastAsia" w:ascii="宋体" w:hAnsi="宋体"/>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00" w:type="dxa"/>
            <w:gridSpan w:val="2"/>
            <w:noWrap w:val="0"/>
            <w:vAlign w:val="center"/>
          </w:tcPr>
          <w:p>
            <w:pPr>
              <w:spacing w:line="320" w:lineRule="exact"/>
              <w:jc w:val="center"/>
              <w:rPr>
                <w:rFonts w:hint="eastAsia" w:ascii="宋体" w:hAnsi="宋体"/>
                <w:color w:val="auto"/>
                <w:sz w:val="24"/>
              </w:rPr>
            </w:pPr>
            <w:r>
              <w:rPr>
                <w:rFonts w:hint="eastAsia" w:ascii="宋体" w:hAnsi="宋体"/>
                <w:color w:val="auto"/>
                <w:sz w:val="24"/>
              </w:rPr>
              <w:t>信息内容</w:t>
            </w:r>
          </w:p>
        </w:tc>
        <w:tc>
          <w:tcPr>
            <w:tcW w:w="2340" w:type="dxa"/>
            <w:noWrap w:val="0"/>
            <w:vAlign w:val="center"/>
          </w:tcPr>
          <w:p>
            <w:pPr>
              <w:spacing w:line="320" w:lineRule="exact"/>
              <w:jc w:val="center"/>
              <w:rPr>
                <w:rFonts w:hint="eastAsia" w:ascii="宋体" w:hAnsi="宋体"/>
                <w:color w:val="auto"/>
                <w:sz w:val="24"/>
              </w:rPr>
            </w:pPr>
            <w:r>
              <w:rPr>
                <w:rFonts w:hint="eastAsia" w:ascii="宋体" w:hAnsi="宋体"/>
                <w:color w:val="auto"/>
                <w:sz w:val="24"/>
              </w:rPr>
              <w:t>本年新制作数量</w:t>
            </w:r>
          </w:p>
        </w:tc>
        <w:tc>
          <w:tcPr>
            <w:tcW w:w="1620" w:type="dxa"/>
            <w:noWrap w:val="0"/>
            <w:vAlign w:val="center"/>
          </w:tcPr>
          <w:p>
            <w:pPr>
              <w:spacing w:line="320" w:lineRule="exact"/>
              <w:jc w:val="center"/>
              <w:rPr>
                <w:rFonts w:hint="eastAsia" w:ascii="宋体" w:hAnsi="宋体"/>
                <w:color w:val="auto"/>
                <w:sz w:val="24"/>
              </w:rPr>
            </w:pPr>
            <w:r>
              <w:rPr>
                <w:rFonts w:hint="eastAsia" w:ascii="宋体" w:hAnsi="宋体"/>
                <w:color w:val="auto"/>
                <w:sz w:val="24"/>
              </w:rPr>
              <w:t>本年新</w:t>
            </w:r>
          </w:p>
          <w:p>
            <w:pPr>
              <w:spacing w:line="320" w:lineRule="exact"/>
              <w:jc w:val="center"/>
              <w:rPr>
                <w:rFonts w:hint="eastAsia" w:ascii="宋体" w:hAnsi="宋体"/>
                <w:color w:val="auto"/>
                <w:sz w:val="24"/>
              </w:rPr>
            </w:pPr>
            <w:r>
              <w:rPr>
                <w:rFonts w:hint="eastAsia" w:ascii="宋体" w:hAnsi="宋体"/>
                <w:color w:val="auto"/>
                <w:sz w:val="24"/>
              </w:rPr>
              <w:t>公开数量</w:t>
            </w:r>
          </w:p>
        </w:tc>
        <w:tc>
          <w:tcPr>
            <w:tcW w:w="1980" w:type="dxa"/>
            <w:noWrap w:val="0"/>
            <w:vAlign w:val="center"/>
          </w:tcPr>
          <w:p>
            <w:pPr>
              <w:spacing w:line="320" w:lineRule="exact"/>
              <w:jc w:val="center"/>
              <w:rPr>
                <w:rFonts w:hint="eastAsia" w:ascii="宋体" w:hAnsi="宋体"/>
                <w:color w:val="auto"/>
                <w:sz w:val="24"/>
              </w:rPr>
            </w:pPr>
            <w:r>
              <w:rPr>
                <w:rFonts w:hint="eastAsia" w:ascii="宋体" w:hAnsi="宋体"/>
                <w:color w:val="auto"/>
                <w:sz w:val="24"/>
              </w:rPr>
              <w:t>对外公开</w:t>
            </w:r>
          </w:p>
          <w:p>
            <w:pPr>
              <w:spacing w:line="320" w:lineRule="exact"/>
              <w:jc w:val="center"/>
              <w:rPr>
                <w:rFonts w:hint="eastAsia" w:ascii="宋体" w:hAnsi="宋体"/>
                <w:color w:val="auto"/>
                <w:sz w:val="24"/>
              </w:rPr>
            </w:pPr>
            <w:r>
              <w:rPr>
                <w:rFonts w:hint="eastAsia" w:ascii="宋体" w:hAnsi="宋体"/>
                <w:color w:val="auto"/>
                <w:sz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规章</w:t>
            </w:r>
          </w:p>
        </w:tc>
        <w:tc>
          <w:tcPr>
            <w:tcW w:w="234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62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规范性文件</w:t>
            </w:r>
          </w:p>
        </w:tc>
        <w:tc>
          <w:tcPr>
            <w:tcW w:w="234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62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noWrap w:val="0"/>
            <w:vAlign w:val="center"/>
          </w:tcPr>
          <w:p>
            <w:pPr>
              <w:spacing w:line="560" w:lineRule="exact"/>
              <w:jc w:val="center"/>
              <w:rPr>
                <w:rFonts w:hint="eastAsia" w:ascii="宋体" w:hAnsi="宋体"/>
                <w:color w:val="auto"/>
                <w:sz w:val="24"/>
              </w:rPr>
            </w:pPr>
            <w:r>
              <w:rPr>
                <w:rFonts w:hint="eastAsia" w:ascii="宋体" w:hAnsi="宋体"/>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00"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信息内容</w:t>
            </w:r>
          </w:p>
        </w:tc>
        <w:tc>
          <w:tcPr>
            <w:tcW w:w="234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上一年项目数量</w:t>
            </w:r>
          </w:p>
        </w:tc>
        <w:tc>
          <w:tcPr>
            <w:tcW w:w="162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本年增/减</w:t>
            </w:r>
          </w:p>
        </w:tc>
        <w:tc>
          <w:tcPr>
            <w:tcW w:w="198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行政许可</w:t>
            </w:r>
          </w:p>
        </w:tc>
        <w:tc>
          <w:tcPr>
            <w:tcW w:w="2340" w:type="dxa"/>
            <w:noWrap w:val="0"/>
            <w:vAlign w:val="center"/>
          </w:tcPr>
          <w:p>
            <w:pPr>
              <w:spacing w:line="56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6</w:t>
            </w:r>
          </w:p>
        </w:tc>
        <w:tc>
          <w:tcPr>
            <w:tcW w:w="1620" w:type="dxa"/>
            <w:noWrap w:val="0"/>
            <w:vAlign w:val="center"/>
          </w:tcPr>
          <w:p>
            <w:pPr>
              <w:spacing w:line="560" w:lineRule="exact"/>
              <w:jc w:val="center"/>
              <w:rPr>
                <w:rFonts w:hint="default" w:ascii="宋体" w:hAnsi="宋体" w:eastAsia="宋体"/>
                <w:color w:val="auto"/>
                <w:sz w:val="24"/>
                <w:lang w:val="en-US" w:eastAsia="zh-CN"/>
              </w:rPr>
            </w:pPr>
            <w:r>
              <w:rPr>
                <w:rFonts w:hint="eastAsia" w:ascii="宋体" w:hAnsi="宋体"/>
                <w:color w:val="auto"/>
                <w:sz w:val="24"/>
                <w:lang w:eastAsia="zh-CN"/>
              </w:rPr>
              <w:t>增</w:t>
            </w:r>
            <w:r>
              <w:rPr>
                <w:rFonts w:hint="eastAsia" w:ascii="宋体" w:hAnsi="宋体"/>
                <w:color w:val="auto"/>
                <w:sz w:val="24"/>
                <w:lang w:val="en-US" w:eastAsia="zh-CN"/>
              </w:rPr>
              <w:t>2</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其他对外管理服务事项</w:t>
            </w:r>
          </w:p>
        </w:tc>
        <w:tc>
          <w:tcPr>
            <w:tcW w:w="234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62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noWrap w:val="0"/>
            <w:vAlign w:val="center"/>
          </w:tcPr>
          <w:p>
            <w:pPr>
              <w:spacing w:line="560" w:lineRule="exact"/>
              <w:jc w:val="center"/>
              <w:rPr>
                <w:rFonts w:hint="eastAsia" w:ascii="宋体" w:hAnsi="宋体"/>
                <w:color w:val="auto"/>
                <w:sz w:val="28"/>
                <w:szCs w:val="28"/>
              </w:rPr>
            </w:pPr>
            <w:r>
              <w:rPr>
                <w:rFonts w:hint="eastAsia" w:ascii="宋体" w:hAnsi="宋体"/>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信息内容</w:t>
            </w:r>
          </w:p>
        </w:tc>
        <w:tc>
          <w:tcPr>
            <w:tcW w:w="234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上一年项目数量</w:t>
            </w:r>
          </w:p>
        </w:tc>
        <w:tc>
          <w:tcPr>
            <w:tcW w:w="162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本年增/减</w:t>
            </w:r>
          </w:p>
        </w:tc>
        <w:tc>
          <w:tcPr>
            <w:tcW w:w="198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行政处罚</w:t>
            </w:r>
          </w:p>
        </w:tc>
        <w:tc>
          <w:tcPr>
            <w:tcW w:w="2340" w:type="dxa"/>
            <w:noWrap w:val="0"/>
            <w:vAlign w:val="center"/>
          </w:tcPr>
          <w:p>
            <w:pPr>
              <w:spacing w:line="56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1620" w:type="dxa"/>
            <w:noWrap w:val="0"/>
            <w:vAlign w:val="center"/>
          </w:tcPr>
          <w:p>
            <w:pPr>
              <w:spacing w:line="560" w:lineRule="exact"/>
              <w:jc w:val="center"/>
              <w:rPr>
                <w:rFonts w:hint="default" w:ascii="宋体" w:hAnsi="宋体" w:eastAsia="宋体"/>
                <w:color w:val="auto"/>
                <w:sz w:val="24"/>
                <w:lang w:val="en-US" w:eastAsia="zh-CN"/>
              </w:rPr>
            </w:pPr>
            <w:r>
              <w:rPr>
                <w:rFonts w:hint="eastAsia" w:ascii="宋体" w:hAnsi="宋体"/>
                <w:color w:val="auto"/>
                <w:sz w:val="24"/>
                <w:lang w:eastAsia="zh-CN"/>
              </w:rPr>
              <w:t>减</w:t>
            </w:r>
            <w:r>
              <w:rPr>
                <w:rFonts w:hint="eastAsia" w:ascii="宋体" w:hAnsi="宋体"/>
                <w:color w:val="auto"/>
                <w:sz w:val="24"/>
                <w:lang w:val="en-US" w:eastAsia="zh-CN"/>
              </w:rPr>
              <w:t>3</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行政强制</w:t>
            </w:r>
          </w:p>
        </w:tc>
        <w:tc>
          <w:tcPr>
            <w:tcW w:w="234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62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198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noWrap w:val="0"/>
            <w:vAlign w:val="center"/>
          </w:tcPr>
          <w:p>
            <w:pPr>
              <w:spacing w:line="560" w:lineRule="exact"/>
              <w:jc w:val="center"/>
              <w:rPr>
                <w:rFonts w:hint="eastAsia" w:ascii="宋体" w:hAnsi="宋体"/>
                <w:color w:val="auto"/>
                <w:sz w:val="24"/>
              </w:rPr>
            </w:pPr>
            <w:r>
              <w:rPr>
                <w:rFonts w:hint="eastAsia" w:ascii="宋体" w:hAnsi="宋体"/>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信息内容</w:t>
            </w:r>
          </w:p>
        </w:tc>
        <w:tc>
          <w:tcPr>
            <w:tcW w:w="2340"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上一年项目数量</w:t>
            </w:r>
          </w:p>
        </w:tc>
        <w:tc>
          <w:tcPr>
            <w:tcW w:w="3600"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noWrap w:val="0"/>
            <w:vAlign w:val="center"/>
          </w:tcPr>
          <w:p>
            <w:pPr>
              <w:spacing w:line="560" w:lineRule="exact"/>
              <w:rPr>
                <w:rFonts w:hint="eastAsia" w:ascii="宋体" w:hAnsi="宋体"/>
                <w:color w:val="auto"/>
                <w:sz w:val="24"/>
              </w:rPr>
            </w:pPr>
            <w:r>
              <w:rPr>
                <w:rFonts w:hint="eastAsia" w:ascii="宋体" w:hAnsi="宋体"/>
                <w:color w:val="auto"/>
                <w:sz w:val="24"/>
              </w:rPr>
              <w:t>行政事业性收费</w:t>
            </w:r>
          </w:p>
        </w:tc>
        <w:tc>
          <w:tcPr>
            <w:tcW w:w="2340" w:type="dxa"/>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3600" w:type="dxa"/>
            <w:gridSpan w:val="2"/>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5"/>
            <w:noWrap w:val="0"/>
            <w:vAlign w:val="center"/>
          </w:tcPr>
          <w:p>
            <w:pPr>
              <w:spacing w:line="560" w:lineRule="exact"/>
              <w:jc w:val="center"/>
              <w:rPr>
                <w:rFonts w:hint="eastAsia" w:ascii="宋体" w:hAnsi="宋体"/>
                <w:color w:val="auto"/>
                <w:sz w:val="24"/>
              </w:rPr>
            </w:pPr>
            <w:r>
              <w:rPr>
                <w:rFonts w:hint="eastAsia" w:ascii="宋体" w:hAnsi="宋体"/>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noWrap w:val="0"/>
            <w:vAlign w:val="center"/>
          </w:tcPr>
          <w:p>
            <w:pPr>
              <w:spacing w:line="560" w:lineRule="exact"/>
              <w:jc w:val="center"/>
              <w:rPr>
                <w:rFonts w:hint="eastAsia" w:ascii="宋体" w:hAnsi="宋体"/>
                <w:color w:val="auto"/>
                <w:sz w:val="24"/>
              </w:rPr>
            </w:pPr>
            <w:r>
              <w:rPr>
                <w:rFonts w:hint="eastAsia" w:ascii="宋体" w:hAnsi="宋体"/>
                <w:color w:val="auto"/>
                <w:sz w:val="24"/>
              </w:rPr>
              <w:t>信息内容</w:t>
            </w:r>
          </w:p>
        </w:tc>
        <w:tc>
          <w:tcPr>
            <w:tcW w:w="3423"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采购项目数量</w:t>
            </w:r>
          </w:p>
        </w:tc>
        <w:tc>
          <w:tcPr>
            <w:tcW w:w="3600" w:type="dxa"/>
            <w:gridSpan w:val="2"/>
            <w:noWrap w:val="0"/>
            <w:vAlign w:val="center"/>
          </w:tcPr>
          <w:p>
            <w:pPr>
              <w:spacing w:line="560" w:lineRule="exact"/>
              <w:jc w:val="center"/>
              <w:rPr>
                <w:rFonts w:hint="eastAsia" w:ascii="宋体" w:hAnsi="宋体"/>
                <w:color w:val="auto"/>
                <w:sz w:val="24"/>
              </w:rPr>
            </w:pPr>
            <w:r>
              <w:rPr>
                <w:rFonts w:hint="eastAsia" w:ascii="宋体" w:hAnsi="宋体"/>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noWrap w:val="0"/>
            <w:vAlign w:val="center"/>
          </w:tcPr>
          <w:p>
            <w:pPr>
              <w:spacing w:line="560" w:lineRule="exact"/>
              <w:rPr>
                <w:rFonts w:hint="eastAsia" w:ascii="宋体" w:hAnsi="宋体"/>
                <w:color w:val="auto"/>
                <w:sz w:val="24"/>
              </w:rPr>
            </w:pPr>
            <w:r>
              <w:rPr>
                <w:rFonts w:hint="eastAsia" w:ascii="宋体" w:hAnsi="宋体"/>
                <w:color w:val="auto"/>
                <w:sz w:val="24"/>
              </w:rPr>
              <w:t>政府集中采购</w:t>
            </w:r>
          </w:p>
        </w:tc>
        <w:tc>
          <w:tcPr>
            <w:tcW w:w="3423" w:type="dxa"/>
            <w:gridSpan w:val="2"/>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c>
          <w:tcPr>
            <w:tcW w:w="3600" w:type="dxa"/>
            <w:gridSpan w:val="2"/>
            <w:noWrap w:val="0"/>
            <w:vAlign w:val="center"/>
          </w:tcPr>
          <w:p>
            <w:pPr>
              <w:spacing w:line="5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w:t>
            </w:r>
          </w:p>
        </w:tc>
      </w:tr>
    </w:tbl>
    <w:p>
      <w:pPr>
        <w:spacing w:line="560" w:lineRule="exact"/>
        <w:ind w:firstLine="320" w:firstLineChars="1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收到和处理政府信息公开申请情况</w:t>
      </w:r>
    </w:p>
    <w:tbl>
      <w:tblPr>
        <w:tblStyle w:val="4"/>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59"/>
        <w:gridCol w:w="2703"/>
        <w:gridCol w:w="889"/>
        <w:gridCol w:w="709"/>
        <w:gridCol w:w="709"/>
        <w:gridCol w:w="711"/>
        <w:gridCol w:w="709"/>
        <w:gridCol w:w="715"/>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79" w:type="pct"/>
            <w:gridSpan w:val="3"/>
            <w:vMerge w:val="restart"/>
            <w:noWrap w:val="0"/>
            <w:vAlign w:val="center"/>
          </w:tcPr>
          <w:p>
            <w:pPr>
              <w:spacing w:line="360" w:lineRule="exact"/>
              <w:rPr>
                <w:rFonts w:hint="eastAsia" w:ascii="宋体" w:hAnsi="宋体"/>
                <w:color w:val="auto"/>
                <w:szCs w:val="21"/>
              </w:rPr>
            </w:pPr>
            <w:r>
              <w:rPr>
                <w:rFonts w:hint="eastAsia" w:ascii="宋体" w:hAnsi="宋体"/>
                <w:color w:val="auto"/>
                <w:szCs w:val="21"/>
              </w:rPr>
              <w:t>（本列数据的勾稽关系为：第一项加第二项之和，等于第三项加第四项之和）</w:t>
            </w:r>
          </w:p>
        </w:tc>
        <w:tc>
          <w:tcPr>
            <w:tcW w:w="2620" w:type="pct"/>
            <w:gridSpan w:val="7"/>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79" w:type="pct"/>
            <w:gridSpan w:val="3"/>
            <w:vMerge w:val="continue"/>
            <w:noWrap w:val="0"/>
            <w:vAlign w:val="top"/>
          </w:tcPr>
          <w:p>
            <w:pPr>
              <w:spacing w:line="360" w:lineRule="exact"/>
              <w:rPr>
                <w:rFonts w:hint="eastAsia" w:ascii="宋体" w:hAnsi="宋体"/>
                <w:color w:val="auto"/>
                <w:szCs w:val="21"/>
              </w:rPr>
            </w:pPr>
          </w:p>
        </w:tc>
        <w:tc>
          <w:tcPr>
            <w:tcW w:w="465" w:type="pct"/>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自然人</w:t>
            </w:r>
          </w:p>
        </w:tc>
        <w:tc>
          <w:tcPr>
            <w:tcW w:w="1859" w:type="pct"/>
            <w:gridSpan w:val="5"/>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法人或其他组织</w:t>
            </w:r>
          </w:p>
        </w:tc>
        <w:tc>
          <w:tcPr>
            <w:tcW w:w="295" w:type="pct"/>
            <w:vMerge w:val="restart"/>
            <w:noWrap w:val="0"/>
            <w:vAlign w:val="center"/>
          </w:tcPr>
          <w:p>
            <w:pPr>
              <w:spacing w:line="560" w:lineRule="exact"/>
              <w:jc w:val="center"/>
              <w:rPr>
                <w:rFonts w:hint="eastAsia" w:ascii="仿宋_GB2312" w:eastAsia="仿宋_GB2312"/>
                <w:color w:val="auto"/>
                <w:szCs w:val="21"/>
              </w:rPr>
            </w:pPr>
            <w:r>
              <w:rPr>
                <w:rFonts w:hint="eastAsia" w:ascii="仿宋_GB2312" w:eastAsia="仿宋_GB2312"/>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379" w:type="pct"/>
            <w:gridSpan w:val="3"/>
            <w:vMerge w:val="continue"/>
            <w:noWrap w:val="0"/>
            <w:vAlign w:val="top"/>
          </w:tcPr>
          <w:p>
            <w:pPr>
              <w:spacing w:line="360" w:lineRule="exact"/>
              <w:rPr>
                <w:rFonts w:hint="eastAsia" w:ascii="宋体" w:hAnsi="宋体"/>
                <w:color w:val="auto"/>
                <w:szCs w:val="21"/>
              </w:rPr>
            </w:pPr>
          </w:p>
        </w:tc>
        <w:tc>
          <w:tcPr>
            <w:tcW w:w="465" w:type="pct"/>
            <w:vMerge w:val="continue"/>
            <w:noWrap w:val="0"/>
            <w:vAlign w:val="top"/>
          </w:tcPr>
          <w:p>
            <w:pPr>
              <w:spacing w:line="360" w:lineRule="exact"/>
              <w:rPr>
                <w:rFonts w:hint="eastAsia" w:ascii="宋体" w:hAnsi="宋体"/>
                <w:color w:val="auto"/>
                <w:szCs w:val="21"/>
              </w:rPr>
            </w:pPr>
          </w:p>
        </w:tc>
        <w:tc>
          <w:tcPr>
            <w:tcW w:w="371" w:type="pc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商业企业</w:t>
            </w:r>
          </w:p>
        </w:tc>
        <w:tc>
          <w:tcPr>
            <w:tcW w:w="371" w:type="pc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科研机构</w:t>
            </w:r>
          </w:p>
        </w:tc>
        <w:tc>
          <w:tcPr>
            <w:tcW w:w="372" w:type="pc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社会公益组织</w:t>
            </w:r>
          </w:p>
        </w:tc>
        <w:tc>
          <w:tcPr>
            <w:tcW w:w="371" w:type="pc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法律服务机构</w:t>
            </w:r>
          </w:p>
        </w:tc>
        <w:tc>
          <w:tcPr>
            <w:tcW w:w="374" w:type="pc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其他</w:t>
            </w:r>
          </w:p>
        </w:tc>
        <w:tc>
          <w:tcPr>
            <w:tcW w:w="295" w:type="pct"/>
            <w:vMerge w:val="continue"/>
            <w:noWrap w:val="0"/>
            <w:vAlign w:val="top"/>
          </w:tcPr>
          <w:p>
            <w:pPr>
              <w:spacing w:line="560" w:lineRule="exact"/>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pct"/>
            <w:gridSpan w:val="3"/>
            <w:noWrap w:val="0"/>
            <w:vAlign w:val="center"/>
          </w:tcPr>
          <w:p>
            <w:pPr>
              <w:spacing w:line="560" w:lineRule="exact"/>
              <w:rPr>
                <w:rFonts w:hint="eastAsia" w:ascii="宋体" w:hAnsi="宋体"/>
                <w:color w:val="auto"/>
                <w:szCs w:val="21"/>
              </w:rPr>
            </w:pPr>
            <w:r>
              <w:rPr>
                <w:rFonts w:hint="eastAsia" w:ascii="宋体" w:hAnsi="宋体"/>
                <w:color w:val="auto"/>
                <w:szCs w:val="21"/>
              </w:rPr>
              <w:t>一、本年新收政府信息公开申请数量</w:t>
            </w:r>
          </w:p>
        </w:tc>
        <w:tc>
          <w:tcPr>
            <w:tcW w:w="46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pct"/>
            <w:gridSpan w:val="3"/>
            <w:noWrap w:val="0"/>
            <w:vAlign w:val="center"/>
          </w:tcPr>
          <w:p>
            <w:pPr>
              <w:spacing w:line="560" w:lineRule="exact"/>
              <w:rPr>
                <w:rFonts w:hint="eastAsia" w:ascii="宋体" w:hAnsi="宋体"/>
                <w:color w:val="auto"/>
                <w:szCs w:val="21"/>
              </w:rPr>
            </w:pPr>
            <w:r>
              <w:rPr>
                <w:rFonts w:hint="eastAsia" w:ascii="宋体" w:hAnsi="宋体"/>
                <w:color w:val="auto"/>
                <w:szCs w:val="21"/>
              </w:rPr>
              <w:t>二、上年结转政府信息公开申请数量</w:t>
            </w:r>
          </w:p>
        </w:tc>
        <w:tc>
          <w:tcPr>
            <w:tcW w:w="46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noWrap w:val="0"/>
            <w:textDirection w:val="tbRlV"/>
            <w:vAlign w:val="center"/>
          </w:tcPr>
          <w:p>
            <w:pPr>
              <w:spacing w:line="560" w:lineRule="exact"/>
              <w:ind w:left="113" w:right="113"/>
              <w:jc w:val="center"/>
              <w:rPr>
                <w:rFonts w:hint="eastAsia" w:ascii="宋体" w:hAnsi="宋体"/>
                <w:color w:val="auto"/>
                <w:szCs w:val="21"/>
              </w:rPr>
            </w:pPr>
            <w:r>
              <w:rPr>
                <w:rFonts w:hint="eastAsia" w:ascii="宋体" w:hAnsi="宋体"/>
                <w:color w:val="auto"/>
                <w:szCs w:val="21"/>
              </w:rPr>
              <w:t>三、本年度办理结果</w:t>
            </w:r>
          </w:p>
        </w:tc>
        <w:tc>
          <w:tcPr>
            <w:tcW w:w="1968" w:type="pct"/>
            <w:gridSpan w:val="2"/>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（一）予以公开</w:t>
            </w:r>
          </w:p>
        </w:tc>
        <w:tc>
          <w:tcPr>
            <w:tcW w:w="46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1968" w:type="pct"/>
            <w:gridSpan w:val="2"/>
            <w:noWrap w:val="0"/>
            <w:vAlign w:val="center"/>
          </w:tcPr>
          <w:p>
            <w:pPr>
              <w:spacing w:line="360" w:lineRule="exact"/>
              <w:rPr>
                <w:rFonts w:hint="eastAsia" w:ascii="楷体_GB2312" w:eastAsia="楷体_GB2312"/>
                <w:color w:val="auto"/>
                <w:szCs w:val="21"/>
              </w:rPr>
            </w:pPr>
            <w:r>
              <w:rPr>
                <w:rFonts w:hint="eastAsia" w:ascii="楷体_GB2312" w:eastAsia="楷体_GB2312"/>
                <w:color w:val="auto"/>
                <w:szCs w:val="21"/>
              </w:rPr>
              <w:t>（二）部分公开（区分处理的，只计这一情形，不计其他情形）</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restart"/>
            <w:noWrap w:val="0"/>
            <w:vAlign w:val="center"/>
          </w:tcPr>
          <w:p>
            <w:pPr>
              <w:spacing w:line="560" w:lineRule="exact"/>
              <w:jc w:val="center"/>
              <w:rPr>
                <w:rFonts w:hint="eastAsia" w:ascii="楷体_GB2312" w:eastAsia="楷体_GB2312"/>
                <w:color w:val="auto"/>
                <w:spacing w:val="-6"/>
                <w:szCs w:val="21"/>
              </w:rPr>
            </w:pPr>
            <w:r>
              <w:rPr>
                <w:rFonts w:hint="eastAsia" w:ascii="楷体_GB2312" w:eastAsia="楷体_GB2312"/>
                <w:color w:val="auto"/>
                <w:spacing w:val="-6"/>
                <w:szCs w:val="21"/>
              </w:rPr>
              <w:t>（三）不予公开</w:t>
            </w: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1.属于国家秘密</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pacing w:val="-16"/>
                <w:szCs w:val="21"/>
              </w:rPr>
            </w:pPr>
            <w:r>
              <w:rPr>
                <w:rFonts w:hint="eastAsia" w:ascii="楷体_GB2312" w:eastAsia="楷体_GB2312"/>
                <w:color w:val="auto"/>
                <w:spacing w:val="-16"/>
                <w:szCs w:val="21"/>
              </w:rPr>
              <w:t>2.其他法律行政法规禁止公开</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3.危及“三安全一稳定”</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4.保护第三方合法权益</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5.属于三类内部事务信息</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6.属于四类过程性信息</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7.属于行政执法案卷</w:t>
            </w:r>
          </w:p>
        </w:tc>
        <w:tc>
          <w:tcPr>
            <w:tcW w:w="46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center"/>
          </w:tcPr>
          <w:p>
            <w:pPr>
              <w:spacing w:line="560" w:lineRule="exact"/>
              <w:jc w:val="center"/>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8.属于行政查询事项</w:t>
            </w:r>
          </w:p>
        </w:tc>
        <w:tc>
          <w:tcPr>
            <w:tcW w:w="46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restart"/>
            <w:noWrap w:val="0"/>
            <w:vAlign w:val="center"/>
          </w:tcPr>
          <w:p>
            <w:pPr>
              <w:spacing w:line="560" w:lineRule="exact"/>
              <w:jc w:val="center"/>
              <w:rPr>
                <w:rFonts w:hint="eastAsia" w:ascii="楷体_GB2312" w:eastAsia="楷体_GB2312"/>
                <w:color w:val="auto"/>
                <w:spacing w:val="-6"/>
                <w:szCs w:val="21"/>
              </w:rPr>
            </w:pPr>
            <w:r>
              <w:rPr>
                <w:rFonts w:hint="eastAsia" w:ascii="楷体_GB2312" w:eastAsia="楷体_GB2312"/>
                <w:color w:val="auto"/>
                <w:spacing w:val="-6"/>
                <w:szCs w:val="21"/>
              </w:rPr>
              <w:t>（四）无法提供</w:t>
            </w:r>
          </w:p>
        </w:tc>
        <w:tc>
          <w:tcPr>
            <w:tcW w:w="1414" w:type="pct"/>
            <w:noWrap w:val="0"/>
            <w:vAlign w:val="top"/>
          </w:tcPr>
          <w:p>
            <w:pPr>
              <w:spacing w:line="560" w:lineRule="exact"/>
              <w:rPr>
                <w:rFonts w:hint="eastAsia" w:ascii="楷体_GB2312" w:eastAsia="楷体_GB2312"/>
                <w:color w:val="auto"/>
                <w:spacing w:val="-14"/>
                <w:szCs w:val="21"/>
              </w:rPr>
            </w:pPr>
            <w:r>
              <w:rPr>
                <w:rFonts w:hint="eastAsia" w:ascii="楷体_GB2312" w:eastAsia="楷体_GB2312"/>
                <w:color w:val="auto"/>
                <w:spacing w:val="-14"/>
                <w:szCs w:val="21"/>
              </w:rPr>
              <w:t>1.本机关不掌握相关政府信息</w:t>
            </w:r>
          </w:p>
        </w:tc>
        <w:tc>
          <w:tcPr>
            <w:tcW w:w="46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pacing w:val="-14"/>
                <w:szCs w:val="21"/>
              </w:rPr>
            </w:pPr>
            <w:r>
              <w:rPr>
                <w:rFonts w:hint="eastAsia" w:ascii="楷体_GB2312" w:eastAsia="楷体_GB2312"/>
                <w:color w:val="auto"/>
                <w:spacing w:val="-14"/>
                <w:szCs w:val="21"/>
              </w:rPr>
              <w:t>2.没有现成信息需要另行制作</w:t>
            </w:r>
          </w:p>
        </w:tc>
        <w:tc>
          <w:tcPr>
            <w:tcW w:w="46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3.补正后申请内容仍不明确</w:t>
            </w:r>
          </w:p>
        </w:tc>
        <w:tc>
          <w:tcPr>
            <w:tcW w:w="46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restart"/>
            <w:noWrap w:val="0"/>
            <w:vAlign w:val="center"/>
          </w:tcPr>
          <w:p>
            <w:pPr>
              <w:spacing w:line="560" w:lineRule="exact"/>
              <w:jc w:val="center"/>
              <w:rPr>
                <w:rFonts w:hint="eastAsia" w:ascii="楷体_GB2312" w:eastAsia="楷体_GB2312"/>
                <w:color w:val="auto"/>
                <w:spacing w:val="-6"/>
                <w:szCs w:val="21"/>
              </w:rPr>
            </w:pPr>
            <w:r>
              <w:rPr>
                <w:rFonts w:hint="eastAsia" w:ascii="楷体_GB2312" w:eastAsia="楷体_GB2312"/>
                <w:color w:val="auto"/>
                <w:spacing w:val="-6"/>
                <w:szCs w:val="21"/>
              </w:rPr>
              <w:t>（五）不予处理</w:t>
            </w: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1.信访举报投诉类申请</w:t>
            </w:r>
          </w:p>
        </w:tc>
        <w:tc>
          <w:tcPr>
            <w:tcW w:w="46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2.重复申请</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3.要求提供公开出版物</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pacing w:val="-8"/>
                <w:szCs w:val="21"/>
              </w:rPr>
            </w:pPr>
            <w:r>
              <w:rPr>
                <w:rFonts w:hint="eastAsia" w:ascii="楷体_GB2312" w:eastAsia="楷体_GB2312"/>
                <w:color w:val="auto"/>
                <w:spacing w:val="-8"/>
                <w:szCs w:val="21"/>
              </w:rPr>
              <w:t>4.无正当理由大量反复申请</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554" w:type="pct"/>
            <w:vMerge w:val="continue"/>
            <w:noWrap w:val="0"/>
            <w:vAlign w:val="top"/>
          </w:tcPr>
          <w:p>
            <w:pPr>
              <w:spacing w:line="560" w:lineRule="exact"/>
              <w:rPr>
                <w:rFonts w:hint="eastAsia" w:ascii="仿宋_GB2312" w:eastAsia="仿宋_GB2312"/>
                <w:color w:val="auto"/>
                <w:sz w:val="32"/>
                <w:szCs w:val="32"/>
              </w:rPr>
            </w:pPr>
          </w:p>
        </w:tc>
        <w:tc>
          <w:tcPr>
            <w:tcW w:w="1414" w:type="pct"/>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5.要求行政机关确认或重新出具已获取信息</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1968" w:type="pct"/>
            <w:gridSpan w:val="2"/>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（六）其他处理</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top"/>
          </w:tcPr>
          <w:p>
            <w:pPr>
              <w:spacing w:line="560" w:lineRule="exact"/>
              <w:rPr>
                <w:rFonts w:hint="eastAsia" w:ascii="仿宋_GB2312" w:eastAsia="仿宋_GB2312"/>
                <w:color w:val="auto"/>
                <w:sz w:val="32"/>
                <w:szCs w:val="32"/>
              </w:rPr>
            </w:pPr>
          </w:p>
        </w:tc>
        <w:tc>
          <w:tcPr>
            <w:tcW w:w="1968" w:type="pct"/>
            <w:gridSpan w:val="2"/>
            <w:noWrap w:val="0"/>
            <w:vAlign w:val="top"/>
          </w:tcPr>
          <w:p>
            <w:pPr>
              <w:spacing w:line="560" w:lineRule="exact"/>
              <w:rPr>
                <w:rFonts w:hint="eastAsia" w:ascii="楷体_GB2312" w:eastAsia="楷体_GB2312"/>
                <w:color w:val="auto"/>
                <w:szCs w:val="21"/>
              </w:rPr>
            </w:pPr>
            <w:r>
              <w:rPr>
                <w:rFonts w:hint="eastAsia" w:ascii="楷体_GB2312" w:eastAsia="楷体_GB2312"/>
                <w:color w:val="auto"/>
                <w:szCs w:val="21"/>
              </w:rPr>
              <w:t>（七）总计</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2</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pct"/>
            <w:gridSpan w:val="3"/>
            <w:noWrap w:val="0"/>
            <w:vAlign w:val="top"/>
          </w:tcPr>
          <w:p>
            <w:pPr>
              <w:spacing w:line="560" w:lineRule="exact"/>
              <w:rPr>
                <w:rFonts w:hint="eastAsia" w:ascii="宋体" w:hAnsi="宋体"/>
                <w:color w:val="auto"/>
                <w:szCs w:val="21"/>
              </w:rPr>
            </w:pPr>
            <w:r>
              <w:rPr>
                <w:rFonts w:hint="eastAsia" w:ascii="宋体" w:hAnsi="宋体"/>
                <w:color w:val="auto"/>
                <w:szCs w:val="21"/>
              </w:rPr>
              <w:t>四、结转下年度继续办理</w:t>
            </w:r>
          </w:p>
        </w:tc>
        <w:tc>
          <w:tcPr>
            <w:tcW w:w="46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2"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1"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374"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c>
          <w:tcPr>
            <w:tcW w:w="295" w:type="pct"/>
            <w:noWrap w:val="0"/>
            <w:vAlign w:val="center"/>
          </w:tcPr>
          <w:p>
            <w:pPr>
              <w:spacing w:line="560" w:lineRule="exact"/>
              <w:jc w:val="center"/>
              <w:rPr>
                <w:rFonts w:hint="eastAsia" w:ascii="仿宋_GB2312" w:eastAsia="仿宋_GB2312"/>
                <w:color w:val="auto"/>
                <w:sz w:val="32"/>
                <w:szCs w:val="32"/>
              </w:rPr>
            </w:pPr>
            <w:r>
              <w:rPr>
                <w:rFonts w:hint="eastAsia" w:ascii="宋体" w:hAnsi="宋体"/>
                <w:color w:val="auto"/>
                <w:szCs w:val="21"/>
                <w:lang w:val="en-US" w:eastAsia="zh-CN"/>
              </w:rPr>
              <w:t>0</w:t>
            </w:r>
          </w:p>
        </w:tc>
      </w:tr>
    </w:tbl>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政府信息公开行政复议、行政诉讼情况</w:t>
      </w:r>
    </w:p>
    <w:tbl>
      <w:tblPr>
        <w:tblStyle w:val="4"/>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64"/>
        <w:gridCol w:w="664"/>
        <w:gridCol w:w="664"/>
        <w:gridCol w:w="664"/>
        <w:gridCol w:w="664"/>
        <w:gridCol w:w="664"/>
        <w:gridCol w:w="664"/>
        <w:gridCol w:w="664"/>
        <w:gridCol w:w="664"/>
        <w:gridCol w:w="664"/>
        <w:gridCol w:w="664"/>
        <w:gridCol w:w="664"/>
        <w:gridCol w:w="66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62" w:type="dxa"/>
            <w:gridSpan w:val="5"/>
            <w:noWrap w:val="0"/>
            <w:vAlign w:val="center"/>
          </w:tcPr>
          <w:p>
            <w:pPr>
              <w:spacing w:line="560" w:lineRule="exact"/>
              <w:jc w:val="center"/>
              <w:rPr>
                <w:rFonts w:hint="eastAsia" w:ascii="宋体" w:hAnsi="宋体"/>
                <w:color w:val="auto"/>
                <w:szCs w:val="21"/>
              </w:rPr>
            </w:pPr>
            <w:r>
              <w:rPr>
                <w:rFonts w:hint="eastAsia" w:ascii="宋体" w:hAnsi="宋体"/>
                <w:color w:val="auto"/>
                <w:szCs w:val="21"/>
              </w:rPr>
              <w:t>行政复议</w:t>
            </w:r>
          </w:p>
        </w:tc>
        <w:tc>
          <w:tcPr>
            <w:tcW w:w="6577" w:type="dxa"/>
            <w:gridSpan w:val="10"/>
            <w:noWrap w:val="0"/>
            <w:vAlign w:val="center"/>
          </w:tcPr>
          <w:p>
            <w:pPr>
              <w:spacing w:line="560" w:lineRule="exact"/>
              <w:jc w:val="center"/>
              <w:rPr>
                <w:rFonts w:hint="eastAsia" w:ascii="宋体" w:hAnsi="宋体"/>
                <w:color w:val="auto"/>
                <w:szCs w:val="21"/>
              </w:rPr>
            </w:pPr>
            <w:r>
              <w:rPr>
                <w:rFonts w:hint="eastAsia" w:ascii="宋体" w:hAnsi="宋体"/>
                <w:color w:val="auto"/>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6" w:type="dxa"/>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结果维持</w:t>
            </w:r>
          </w:p>
        </w:tc>
        <w:tc>
          <w:tcPr>
            <w:tcW w:w="664" w:type="dxa"/>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结果纠正</w:t>
            </w:r>
          </w:p>
        </w:tc>
        <w:tc>
          <w:tcPr>
            <w:tcW w:w="664" w:type="dxa"/>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其他结果</w:t>
            </w:r>
          </w:p>
        </w:tc>
        <w:tc>
          <w:tcPr>
            <w:tcW w:w="664" w:type="dxa"/>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尚未审结</w:t>
            </w:r>
          </w:p>
        </w:tc>
        <w:tc>
          <w:tcPr>
            <w:tcW w:w="664" w:type="dxa"/>
            <w:vMerge w:val="restart"/>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总</w:t>
            </w:r>
          </w:p>
          <w:p>
            <w:pPr>
              <w:spacing w:line="360" w:lineRule="exact"/>
              <w:jc w:val="center"/>
              <w:rPr>
                <w:rFonts w:hint="eastAsia" w:ascii="宋体" w:hAnsi="宋体"/>
                <w:color w:val="auto"/>
                <w:szCs w:val="21"/>
              </w:rPr>
            </w:pPr>
            <w:r>
              <w:rPr>
                <w:rFonts w:hint="eastAsia" w:ascii="宋体" w:hAnsi="宋体"/>
                <w:color w:val="auto"/>
                <w:szCs w:val="21"/>
              </w:rPr>
              <w:t>计</w:t>
            </w:r>
          </w:p>
        </w:tc>
        <w:tc>
          <w:tcPr>
            <w:tcW w:w="3320" w:type="dxa"/>
            <w:gridSpan w:val="5"/>
            <w:noWrap w:val="0"/>
            <w:vAlign w:val="center"/>
          </w:tcPr>
          <w:p>
            <w:pPr>
              <w:spacing w:line="560" w:lineRule="exact"/>
              <w:jc w:val="center"/>
              <w:rPr>
                <w:rFonts w:hint="eastAsia" w:ascii="宋体" w:hAnsi="宋体"/>
                <w:color w:val="auto"/>
                <w:szCs w:val="21"/>
              </w:rPr>
            </w:pPr>
            <w:r>
              <w:rPr>
                <w:rFonts w:hint="eastAsia" w:ascii="宋体" w:hAnsi="宋体"/>
                <w:color w:val="auto"/>
                <w:szCs w:val="21"/>
              </w:rPr>
              <w:t>未经复议直接起诉</w:t>
            </w:r>
          </w:p>
        </w:tc>
        <w:tc>
          <w:tcPr>
            <w:tcW w:w="3257" w:type="dxa"/>
            <w:gridSpan w:val="5"/>
            <w:noWrap w:val="0"/>
            <w:vAlign w:val="center"/>
          </w:tcPr>
          <w:p>
            <w:pPr>
              <w:spacing w:line="560" w:lineRule="exact"/>
              <w:jc w:val="center"/>
              <w:rPr>
                <w:rFonts w:hint="eastAsia" w:ascii="宋体" w:hAnsi="宋体"/>
                <w:color w:val="auto"/>
                <w:szCs w:val="21"/>
              </w:rPr>
            </w:pPr>
            <w:r>
              <w:rPr>
                <w:rFonts w:hint="eastAsia" w:ascii="宋体" w:hAnsi="宋体"/>
                <w:color w:val="auto"/>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06" w:type="dxa"/>
            <w:vMerge w:val="continue"/>
            <w:noWrap w:val="0"/>
            <w:vAlign w:val="center"/>
          </w:tcPr>
          <w:p>
            <w:pPr>
              <w:spacing w:line="560" w:lineRule="exact"/>
              <w:jc w:val="center"/>
              <w:rPr>
                <w:rFonts w:hint="eastAsia" w:ascii="宋体" w:hAnsi="宋体"/>
                <w:color w:val="auto"/>
                <w:szCs w:val="21"/>
              </w:rPr>
            </w:pPr>
          </w:p>
        </w:tc>
        <w:tc>
          <w:tcPr>
            <w:tcW w:w="664" w:type="dxa"/>
            <w:vMerge w:val="continue"/>
            <w:noWrap w:val="0"/>
            <w:vAlign w:val="center"/>
          </w:tcPr>
          <w:p>
            <w:pPr>
              <w:spacing w:line="560" w:lineRule="exact"/>
              <w:jc w:val="center"/>
              <w:rPr>
                <w:rFonts w:hint="eastAsia" w:ascii="宋体" w:hAnsi="宋体"/>
                <w:color w:val="auto"/>
                <w:szCs w:val="21"/>
              </w:rPr>
            </w:pPr>
          </w:p>
        </w:tc>
        <w:tc>
          <w:tcPr>
            <w:tcW w:w="664" w:type="dxa"/>
            <w:vMerge w:val="continue"/>
            <w:noWrap w:val="0"/>
            <w:vAlign w:val="center"/>
          </w:tcPr>
          <w:p>
            <w:pPr>
              <w:spacing w:line="560" w:lineRule="exact"/>
              <w:jc w:val="center"/>
              <w:rPr>
                <w:rFonts w:hint="eastAsia" w:ascii="宋体" w:hAnsi="宋体"/>
                <w:color w:val="auto"/>
                <w:szCs w:val="21"/>
              </w:rPr>
            </w:pPr>
          </w:p>
        </w:tc>
        <w:tc>
          <w:tcPr>
            <w:tcW w:w="664" w:type="dxa"/>
            <w:vMerge w:val="continue"/>
            <w:noWrap w:val="0"/>
            <w:vAlign w:val="center"/>
          </w:tcPr>
          <w:p>
            <w:pPr>
              <w:spacing w:line="560" w:lineRule="exact"/>
              <w:jc w:val="center"/>
              <w:rPr>
                <w:rFonts w:hint="eastAsia" w:ascii="宋体" w:hAnsi="宋体"/>
                <w:color w:val="auto"/>
                <w:szCs w:val="21"/>
              </w:rPr>
            </w:pPr>
          </w:p>
        </w:tc>
        <w:tc>
          <w:tcPr>
            <w:tcW w:w="664" w:type="dxa"/>
            <w:vMerge w:val="continue"/>
            <w:noWrap w:val="0"/>
            <w:vAlign w:val="center"/>
          </w:tcPr>
          <w:p>
            <w:pPr>
              <w:spacing w:line="560" w:lineRule="exact"/>
              <w:jc w:val="center"/>
              <w:rPr>
                <w:rFonts w:hint="eastAsia" w:ascii="宋体" w:hAnsi="宋体"/>
                <w:color w:val="auto"/>
                <w:szCs w:val="21"/>
              </w:rPr>
            </w:pP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结果维持</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结果纠正</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其他结果</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尚未审结</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总</w:t>
            </w:r>
          </w:p>
          <w:p>
            <w:pPr>
              <w:spacing w:line="360" w:lineRule="exact"/>
              <w:jc w:val="center"/>
              <w:rPr>
                <w:rFonts w:hint="eastAsia" w:ascii="宋体" w:hAnsi="宋体"/>
                <w:color w:val="auto"/>
                <w:szCs w:val="21"/>
              </w:rPr>
            </w:pPr>
            <w:r>
              <w:rPr>
                <w:rFonts w:hint="eastAsia" w:ascii="宋体" w:hAnsi="宋体"/>
                <w:color w:val="auto"/>
                <w:szCs w:val="21"/>
              </w:rPr>
              <w:t>计</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结果维持</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结果纠正</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其他结果</w:t>
            </w:r>
          </w:p>
        </w:tc>
        <w:tc>
          <w:tcPr>
            <w:tcW w:w="664"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尚未审结</w:t>
            </w:r>
          </w:p>
        </w:tc>
        <w:tc>
          <w:tcPr>
            <w:tcW w:w="601"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总</w:t>
            </w:r>
          </w:p>
          <w:p>
            <w:pPr>
              <w:spacing w:line="360" w:lineRule="exact"/>
              <w:jc w:val="center"/>
              <w:rPr>
                <w:rFonts w:hint="eastAsia" w:ascii="宋体" w:hAnsi="宋体"/>
                <w:color w:val="auto"/>
                <w:szCs w:val="21"/>
              </w:rPr>
            </w:pPr>
            <w:r>
              <w:rPr>
                <w:rFonts w:hint="eastAsia" w:ascii="宋体" w:hAnsi="宋体"/>
                <w:color w:val="auto"/>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6"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64"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c>
          <w:tcPr>
            <w:tcW w:w="601" w:type="dxa"/>
            <w:noWrap w:val="0"/>
            <w:vAlign w:val="center"/>
          </w:tcPr>
          <w:p>
            <w:pPr>
              <w:spacing w:line="560" w:lineRule="exact"/>
              <w:jc w:val="center"/>
              <w:rPr>
                <w:rFonts w:hint="eastAsia" w:ascii="宋体" w:hAnsi="宋体"/>
                <w:color w:val="auto"/>
                <w:szCs w:val="21"/>
              </w:rPr>
            </w:pPr>
            <w:r>
              <w:rPr>
                <w:rFonts w:hint="eastAsia" w:ascii="宋体" w:hAnsi="宋体"/>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color w:val="auto"/>
          <w:sz w:val="32"/>
          <w:szCs w:val="32"/>
          <w:lang w:eastAsia="zh-CN"/>
        </w:rPr>
      </w:pPr>
      <w:r>
        <w:rPr>
          <w:rFonts w:hint="eastAsia" w:ascii="楷体_GB2312" w:hAnsi="楷体_GB2312" w:eastAsia="楷体_GB2312" w:cs="楷体_GB2312"/>
          <w:color w:val="auto"/>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存在问题：一是</w:t>
      </w:r>
      <w:r>
        <w:rPr>
          <w:rFonts w:hint="eastAsia" w:ascii="仿宋_GB2312" w:eastAsia="仿宋_GB2312"/>
          <w:color w:val="auto"/>
          <w:sz w:val="32"/>
          <w:szCs w:val="32"/>
          <w:lang w:eastAsia="zh-CN"/>
        </w:rPr>
        <w:t>对政府信息公开工作的认识有待进一步深入，个别科室对政务信息公开的重要意义认识不足，认为公开就是公布，存在顾虑心理。二是政府信息公开内容的规范性有待进一步加强。表现在公开的内容不够具体，对群众关心的热点问题等应该公开的未能做到及时全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下步打算：一是进一步强化组织领导。明确职责分工，完善工作机制，不断创新工作方式方法，突出重点，注重实效，使信息公开业务更加有序、便民、高效，确保广大人民群众的知情权、参与权、表达权和监督。二是积极推进网上政务公开。把安丘市政府门户网站作为公开信息的第一平台，及时公开政府信息；充分利用好政务微信公</w:t>
      </w:r>
      <w:bookmarkStart w:id="0" w:name="_GoBack"/>
      <w:bookmarkEnd w:id="0"/>
      <w:r>
        <w:rPr>
          <w:rFonts w:hint="eastAsia" w:ascii="仿宋_GB2312" w:eastAsia="仿宋_GB2312"/>
          <w:color w:val="auto"/>
          <w:sz w:val="32"/>
          <w:szCs w:val="32"/>
          <w:lang w:eastAsia="zh-CN"/>
        </w:rPr>
        <w:t>众号，做好安全生产和防灾减灾救灾知识宣传推广工作。三是进一步完善信息公开制度，按照公开内容及时、全面、不泄密的基本要求，逐步建立政府信息公开工作的长效机制。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color w:val="auto"/>
          <w:sz w:val="32"/>
          <w:szCs w:val="32"/>
          <w:lang w:eastAsia="zh-CN"/>
        </w:rPr>
      </w:pPr>
      <w:r>
        <w:rPr>
          <w:rFonts w:hint="eastAsia" w:ascii="楷体_GB2312" w:hAnsi="楷体_GB2312" w:eastAsia="楷体_GB2312" w:cs="楷体_GB2312"/>
          <w:color w:val="auto"/>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文星黑体" w:hAnsi="文星黑体" w:eastAsia="文星黑体" w:cs="文星黑体"/>
          <w:i w:val="0"/>
          <w:caps w:val="0"/>
          <w:color w:val="auto"/>
          <w:spacing w:val="0"/>
          <w:sz w:val="32"/>
          <w:szCs w:val="32"/>
          <w:shd w:val="clear" w:fill="FFFFFF"/>
          <w:lang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安丘市应急管理局2019年政府信息公开工作年度报告》</w:t>
      </w:r>
      <w:r>
        <w:rPr>
          <w:rFonts w:hint="eastAsia" w:ascii="仿宋_GB2312" w:hAnsi="仿宋_GB2312" w:eastAsia="仿宋_GB2312" w:cs="仿宋_GB2312"/>
          <w:i w:val="0"/>
          <w:caps w:val="0"/>
          <w:color w:val="auto"/>
          <w:spacing w:val="0"/>
          <w:sz w:val="32"/>
          <w:szCs w:val="32"/>
          <w:shd w:val="clear" w:fill="FFFFFF"/>
        </w:rPr>
        <w:t>电子版可在安丘市人民政府门户网站信息公开专栏（http://xxgk.anqiu.gov.cn/）下载查看。如对本报告有任何疑问，请致电或致信安丘市</w:t>
      </w:r>
      <w:r>
        <w:rPr>
          <w:rFonts w:hint="eastAsia" w:ascii="仿宋_GB2312" w:hAnsi="仿宋_GB2312" w:eastAsia="仿宋_GB2312" w:cs="仿宋_GB2312"/>
          <w:i w:val="0"/>
          <w:caps w:val="0"/>
          <w:color w:val="auto"/>
          <w:spacing w:val="0"/>
          <w:sz w:val="32"/>
          <w:szCs w:val="32"/>
          <w:shd w:val="clear" w:fill="FFFFFF"/>
          <w:lang w:eastAsia="zh-CN"/>
        </w:rPr>
        <w:t>应急</w:t>
      </w:r>
      <w:r>
        <w:rPr>
          <w:rFonts w:hint="eastAsia" w:ascii="仿宋_GB2312" w:hAnsi="仿宋_GB2312" w:eastAsia="仿宋_GB2312" w:cs="仿宋_GB2312"/>
          <w:i w:val="0"/>
          <w:caps w:val="0"/>
          <w:color w:val="auto"/>
          <w:spacing w:val="0"/>
          <w:sz w:val="32"/>
          <w:szCs w:val="32"/>
          <w:shd w:val="clear" w:fill="FFFFFF"/>
        </w:rPr>
        <w:t>管理局办公室，联系电话：0536-4396</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7，通信地址：山东省安丘市彩虹街与新安路交叉口西南50米</w:t>
      </w:r>
      <w:r>
        <w:rPr>
          <w:rFonts w:hint="eastAsia" w:ascii="仿宋_GB2312" w:hAnsi="仿宋_GB2312" w:eastAsia="仿宋_GB2312" w:cs="仿宋_GB2312"/>
          <w:i w:val="0"/>
          <w:caps w:val="0"/>
          <w:color w:val="auto"/>
          <w:spacing w:val="0"/>
          <w:sz w:val="32"/>
          <w:szCs w:val="32"/>
          <w:shd w:val="clear" w:fill="FFFFFF"/>
          <w:lang w:eastAsia="zh-CN"/>
        </w:rPr>
        <w:t>市农产品质量综合监管中心</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楼</w:t>
      </w:r>
      <w:r>
        <w:rPr>
          <w:rFonts w:hint="eastAsia" w:ascii="仿宋_GB2312" w:hAnsi="仿宋_GB2312" w:eastAsia="仿宋_GB2312" w:cs="仿宋_GB2312"/>
          <w:i w:val="0"/>
          <w:caps w:val="0"/>
          <w:color w:val="auto"/>
          <w:spacing w:val="0"/>
          <w:sz w:val="32"/>
          <w:szCs w:val="32"/>
          <w:shd w:val="clear" w:fill="FFFFFF"/>
          <w:lang w:eastAsia="zh-CN"/>
        </w:rPr>
        <w:t>应急</w:t>
      </w:r>
      <w:r>
        <w:rPr>
          <w:rFonts w:hint="eastAsia" w:ascii="仿宋_GB2312" w:hAnsi="仿宋_GB2312" w:eastAsia="仿宋_GB2312" w:cs="仿宋_GB2312"/>
          <w:i w:val="0"/>
          <w:caps w:val="0"/>
          <w:color w:val="auto"/>
          <w:spacing w:val="0"/>
          <w:sz w:val="32"/>
          <w:szCs w:val="32"/>
          <w:shd w:val="clear" w:fill="FFFFFF"/>
        </w:rPr>
        <w:t>管理局</w:t>
      </w:r>
      <w:r>
        <w:rPr>
          <w:rFonts w:hint="eastAsia" w:ascii="仿宋_GB2312" w:hAnsi="仿宋_GB2312" w:eastAsia="仿宋_GB2312" w:cs="仿宋_GB2312"/>
          <w:i w:val="0"/>
          <w:caps w:val="0"/>
          <w:color w:val="auto"/>
          <w:spacing w:val="0"/>
          <w:sz w:val="32"/>
          <w:szCs w:val="32"/>
          <w:shd w:val="clear" w:fill="FFFFFF"/>
          <w:lang w:eastAsia="zh-CN"/>
        </w:rPr>
        <w:t>办公室</w:t>
      </w:r>
      <w:r>
        <w:rPr>
          <w:rFonts w:hint="eastAsia" w:ascii="仿宋_GB2312" w:hAnsi="仿宋_GB2312" w:eastAsia="仿宋_GB2312" w:cs="仿宋_GB2312"/>
          <w:i w:val="0"/>
          <w:caps w:val="0"/>
          <w:color w:val="auto"/>
          <w:spacing w:val="0"/>
          <w:sz w:val="32"/>
          <w:szCs w:val="32"/>
          <w:shd w:val="clear" w:fill="FFFFFF"/>
        </w:rPr>
        <w:t>，邮编：262100，邮箱：</w:t>
      </w: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"mailto:aqjrb@163.com%E3%80%82"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caps w:val="0"/>
          <w:color w:val="auto"/>
          <w:spacing w:val="0"/>
          <w:sz w:val="32"/>
          <w:szCs w:val="32"/>
          <w:u w:val="none"/>
          <w:shd w:val="clear" w:fill="FFFFFF"/>
        </w:rPr>
        <w:t>aq</w:t>
      </w:r>
      <w:r>
        <w:rPr>
          <w:rStyle w:val="10"/>
          <w:rFonts w:hint="eastAsia" w:ascii="仿宋_GB2312" w:hAnsi="仿宋_GB2312" w:eastAsia="仿宋_GB2312" w:cs="仿宋_GB2312"/>
          <w:i w:val="0"/>
          <w:caps w:val="0"/>
          <w:color w:val="auto"/>
          <w:spacing w:val="0"/>
          <w:sz w:val="32"/>
          <w:szCs w:val="32"/>
          <w:u w:val="none"/>
          <w:shd w:val="clear" w:fill="FFFFFF"/>
          <w:lang w:val="en-US" w:eastAsia="zh-CN"/>
        </w:rPr>
        <w:t>sajj123</w:t>
      </w:r>
      <w:r>
        <w:rPr>
          <w:rStyle w:val="10"/>
          <w:rFonts w:hint="eastAsia" w:ascii="仿宋_GB2312" w:hAnsi="仿宋_GB2312" w:eastAsia="仿宋_GB2312" w:cs="仿宋_GB2312"/>
          <w:i w:val="0"/>
          <w:caps w:val="0"/>
          <w:color w:val="auto"/>
          <w:spacing w:val="0"/>
          <w:sz w:val="32"/>
          <w:szCs w:val="32"/>
          <w:u w:val="none"/>
          <w:shd w:val="clear" w:fill="FFFFFF"/>
        </w:rPr>
        <w:t>@</w:t>
      </w:r>
      <w:r>
        <w:rPr>
          <w:rStyle w:val="10"/>
          <w:rFonts w:hint="eastAsia" w:ascii="仿宋_GB2312" w:hAnsi="仿宋_GB2312" w:eastAsia="仿宋_GB2312" w:cs="仿宋_GB2312"/>
          <w:i w:val="0"/>
          <w:caps w:val="0"/>
          <w:color w:val="auto"/>
          <w:spacing w:val="0"/>
          <w:sz w:val="32"/>
          <w:szCs w:val="32"/>
          <w:u w:val="none"/>
          <w:shd w:val="clear" w:fill="FFFFFF"/>
          <w:lang w:val="en-US" w:eastAsia="zh-CN"/>
        </w:rPr>
        <w:t>wf.shandong.cn</w:t>
      </w:r>
      <w:r>
        <w:rPr>
          <w:rStyle w:val="10"/>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rPr>
        <w:fldChar w:fldCharType="end"/>
      </w:r>
    </w:p>
    <w:sectPr>
      <w:pgSz w:w="11906" w:h="16838"/>
      <w:pgMar w:top="170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星黑体">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718E0"/>
    <w:rsid w:val="0AC349A2"/>
    <w:rsid w:val="1A3C7095"/>
    <w:rsid w:val="27931E03"/>
    <w:rsid w:val="28863E00"/>
    <w:rsid w:val="2C0718E0"/>
    <w:rsid w:val="30BE4AD9"/>
    <w:rsid w:val="3BAD5E3D"/>
    <w:rsid w:val="46C856D4"/>
    <w:rsid w:val="46EC4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D71249"/>
      <w:u w:val="none"/>
    </w:rPr>
  </w:style>
  <w:style w:type="character" w:styleId="7">
    <w:name w:val="Emphasis"/>
    <w:basedOn w:val="5"/>
    <w:qFormat/>
    <w:uiPriority w:val="0"/>
    <w:rPr>
      <w:b/>
      <w:color w:val="D71249"/>
    </w:rPr>
  </w:style>
  <w:style w:type="character" w:styleId="8">
    <w:name w:val="HTML Definition"/>
    <w:basedOn w:val="5"/>
    <w:uiPriority w:val="0"/>
  </w:style>
  <w:style w:type="character" w:styleId="9">
    <w:name w:val="HTML Variable"/>
    <w:basedOn w:val="5"/>
    <w:uiPriority w:val="0"/>
  </w:style>
  <w:style w:type="character" w:styleId="10">
    <w:name w:val="Hyperlink"/>
    <w:basedOn w:val="5"/>
    <w:qFormat/>
    <w:uiPriority w:val="0"/>
    <w:rPr>
      <w:color w:val="0000FF"/>
      <w:u w:val="single"/>
    </w:rPr>
  </w:style>
  <w:style w:type="character" w:styleId="11">
    <w:name w:val="HTML Code"/>
    <w:basedOn w:val="5"/>
    <w:qFormat/>
    <w:uiPriority w:val="0"/>
    <w:rPr>
      <w:rFonts w:hint="default" w:ascii="Courier New" w:hAnsi="Courier New" w:eastAsia="Courier New" w:cs="Courier New"/>
      <w:sz w:val="20"/>
    </w:rPr>
  </w:style>
  <w:style w:type="character" w:styleId="12">
    <w:name w:val="HTML Cite"/>
    <w:basedOn w:val="5"/>
    <w:uiPriority w:val="0"/>
  </w:style>
  <w:style w:type="character" w:styleId="13">
    <w:name w:val="HTML Keyboard"/>
    <w:basedOn w:val="5"/>
    <w:uiPriority w:val="0"/>
    <w:rPr>
      <w:rFonts w:hint="default" w:ascii="Courier New" w:hAnsi="Courier New" w:eastAsia="Courier New" w:cs="Courier New"/>
      <w:sz w:val="20"/>
    </w:rPr>
  </w:style>
  <w:style w:type="character" w:styleId="14">
    <w:name w:val="HTML Sample"/>
    <w:basedOn w:val="5"/>
    <w:uiPriority w:val="0"/>
    <w:rPr>
      <w:rFonts w:ascii="Courier New" w:hAnsi="Courier New" w:eastAsia="Courier New" w:cs="Courier New"/>
    </w:rPr>
  </w:style>
  <w:style w:type="character" w:customStyle="1" w:styleId="15">
    <w:name w:val="info_required"/>
    <w:basedOn w:val="5"/>
    <w:uiPriority w:val="0"/>
    <w:rPr>
      <w:color w:val="D71249"/>
    </w:rPr>
  </w:style>
  <w:style w:type="character" w:customStyle="1" w:styleId="16">
    <w:name w:val="hc1"/>
    <w:basedOn w:val="5"/>
    <w:qFormat/>
    <w:uiPriority w:val="0"/>
  </w:style>
  <w:style w:type="character" w:customStyle="1" w:styleId="17">
    <w:name w:val="model"/>
    <w:basedOn w:val="5"/>
    <w:qFormat/>
    <w:uiPriority w:val="0"/>
  </w:style>
  <w:style w:type="character" w:customStyle="1" w:styleId="18">
    <w:name w:val="info_notice"/>
    <w:basedOn w:val="5"/>
    <w:uiPriority w:val="0"/>
    <w:rPr>
      <w:color w:val="E1D87D"/>
    </w:rPr>
  </w:style>
  <w:style w:type="character" w:customStyle="1" w:styleId="19">
    <w:name w:val="info_error"/>
    <w:basedOn w:val="5"/>
    <w:uiPriority w:val="0"/>
    <w:rPr>
      <w:color w:val="D71249"/>
    </w:rPr>
  </w:style>
  <w:style w:type="character" w:customStyle="1" w:styleId="20">
    <w:name w:val="info_success"/>
    <w:basedOn w:val="5"/>
    <w:uiPriority w:val="0"/>
    <w:rPr>
      <w:color w:val="98CB4F"/>
    </w:rPr>
  </w:style>
  <w:style w:type="character" w:customStyle="1" w:styleId="21">
    <w:name w:val="desc40"/>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2020-07-20T00:32:00Z</dcterms:created>
  <dc:creator>月幻千影</dc:creator>
  <cp:lastModifiedBy>月幻千影</cp:lastModifiedBy>
  <dcterms:modified xsi:type="dcterms:W3CDTF">2020-07-20T09:04:16Z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