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安丘市投资合作促进中心</w:t>
      </w:r>
    </w:p>
    <w:p>
      <w:pPr>
        <w:keepNext w:val="0"/>
        <w:keepLines w:val="0"/>
        <w:pageBreakBefore w:val="0"/>
        <w:widowControl w:val="0"/>
        <w:kinsoku/>
        <w:overflowPunct/>
        <w:topLinePunct w:val="0"/>
        <w:autoSpaceDE/>
        <w:autoSpaceDN/>
        <w:bidi w:val="0"/>
        <w:adjustRightInd/>
        <w:snapToGrid/>
        <w:spacing w:line="240" w:lineRule="auto"/>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202</w:t>
      </w:r>
      <w:r>
        <w:rPr>
          <w:rFonts w:hint="eastAsia" w:ascii="文星标宋" w:hAnsi="文星标宋" w:eastAsia="文星标宋" w:cs="文星标宋"/>
          <w:b w:val="0"/>
          <w:bCs w:val="0"/>
          <w:color w:val="000000"/>
          <w:kern w:val="0"/>
          <w:sz w:val="44"/>
          <w:szCs w:val="44"/>
          <w:lang w:val="en-US" w:eastAsia="zh-CN"/>
        </w:rPr>
        <w:t>1</w:t>
      </w:r>
      <w:r>
        <w:rPr>
          <w:rFonts w:hint="eastAsia" w:ascii="文星标宋" w:hAnsi="文星标宋" w:eastAsia="文星标宋" w:cs="文星标宋"/>
          <w:b w:val="0"/>
          <w:bCs w:val="0"/>
          <w:color w:val="000000"/>
          <w:kern w:val="0"/>
          <w:sz w:val="44"/>
          <w:szCs w:val="44"/>
        </w:rPr>
        <w:t>年政府信息公开工作年度报告</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lang w:eastAsia="zh-CN"/>
        </w:rPr>
        <w:t>本报告</w:t>
      </w:r>
      <w:r>
        <w:rPr>
          <w:rFonts w:hint="eastAsia" w:ascii="仿宋_GB2312" w:hAnsi="仿宋_GB2312" w:eastAsia="仿宋_GB2312" w:cs="仿宋_GB2312"/>
          <w:color w:val="000000"/>
          <w:kern w:val="0"/>
          <w:sz w:val="32"/>
          <w:szCs w:val="32"/>
          <w:shd w:val="clear" w:color="auto" w:fill="FFFFFF"/>
        </w:rPr>
        <w:t>根据《中华人民共和国政府信息公开条例》（国务院令第711号，以下简称《条例》）</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国务院办公厅政府信息与政务公开办公室关于印发中华人民共和国政府信息公开工作年度报告格式的通知</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国办公开办函〔</w:t>
      </w:r>
      <w:r>
        <w:rPr>
          <w:rFonts w:hint="eastAsia" w:ascii="仿宋_GB2312" w:hAnsi="仿宋_GB2312" w:eastAsia="仿宋_GB2312" w:cs="仿宋_GB2312"/>
          <w:color w:val="000000"/>
          <w:kern w:val="0"/>
          <w:sz w:val="32"/>
          <w:szCs w:val="32"/>
          <w:shd w:val="clear" w:color="auto" w:fill="FFFFFF"/>
          <w:lang w:val="en-US" w:eastAsia="zh-CN"/>
        </w:rPr>
        <w:t>2021</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30</w:t>
      </w:r>
      <w:r>
        <w:rPr>
          <w:rFonts w:hint="eastAsia" w:ascii="仿宋_GB2312" w:hAnsi="仿宋_GB2312" w:eastAsia="仿宋_GB2312" w:cs="仿宋_GB2312"/>
          <w:color w:val="000000"/>
          <w:kern w:val="0"/>
          <w:sz w:val="32"/>
          <w:szCs w:val="32"/>
          <w:shd w:val="clear" w:color="auto" w:fill="FFFFFF"/>
        </w:rPr>
        <w:t>号</w:t>
      </w:r>
      <w:r>
        <w:rPr>
          <w:rFonts w:hint="eastAsia" w:ascii="仿宋_GB2312" w:hAnsi="仿宋_GB2312" w:eastAsia="仿宋_GB2312" w:cs="仿宋_GB2312"/>
          <w:color w:val="000000"/>
          <w:kern w:val="0"/>
          <w:sz w:val="32"/>
          <w:szCs w:val="32"/>
          <w:shd w:val="clear" w:color="auto" w:fill="FFFFFF"/>
          <w:lang w:eastAsia="zh-CN"/>
        </w:rPr>
        <w:t>）等有关法律法规</w:t>
      </w:r>
      <w:r>
        <w:rPr>
          <w:rFonts w:hint="eastAsia" w:ascii="仿宋_GB2312" w:hAnsi="仿宋_GB2312" w:eastAsia="仿宋_GB2312" w:cs="仿宋_GB2312"/>
          <w:color w:val="000000"/>
          <w:kern w:val="0"/>
          <w:sz w:val="32"/>
          <w:szCs w:val="32"/>
          <w:shd w:val="clear" w:color="auto" w:fill="FFFFFF"/>
        </w:rPr>
        <w:t>的要求编制。本报告</w:t>
      </w:r>
      <w:r>
        <w:rPr>
          <w:rFonts w:hint="eastAsia" w:ascii="仿宋_GB2312" w:hAnsi="仿宋_GB2312" w:eastAsia="仿宋_GB2312" w:cs="仿宋_GB2312"/>
          <w:color w:val="000000"/>
          <w:kern w:val="0"/>
          <w:sz w:val="32"/>
          <w:szCs w:val="32"/>
          <w:shd w:val="clear" w:color="auto" w:fill="FFFFFF"/>
          <w:lang w:eastAsia="zh-CN"/>
        </w:rPr>
        <w:t>包括六个部分内容：</w:t>
      </w:r>
      <w:r>
        <w:rPr>
          <w:rFonts w:hint="eastAsia" w:ascii="仿宋_GB2312" w:hAnsi="仿宋_GB2312" w:eastAsia="仿宋_GB2312" w:cs="仿宋_GB2312"/>
          <w:color w:val="000000"/>
          <w:kern w:val="0"/>
          <w:sz w:val="32"/>
          <w:szCs w:val="32"/>
          <w:shd w:val="clear" w:color="auto" w:fill="FFFFFF"/>
        </w:rPr>
        <w:t>总体情况</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主动公开政府信息情况</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收到和处理政府信息公开申请情况</w:t>
      </w:r>
      <w:r>
        <w:rPr>
          <w:rFonts w:hint="eastAsia" w:ascii="仿宋_GB2312" w:hAnsi="仿宋_GB2312" w:eastAsia="仿宋_GB2312" w:cs="仿宋_GB2312"/>
          <w:color w:val="000000"/>
          <w:kern w:val="0"/>
          <w:sz w:val="32"/>
          <w:szCs w:val="32"/>
          <w:shd w:val="clear" w:color="auto" w:fill="FFFFFF"/>
          <w:lang w:eastAsia="zh-CN"/>
        </w:rPr>
        <w:t>；因政府信息公开工作被申请行政复议、提起行政诉讼情况；政府信息公开工作</w:t>
      </w:r>
      <w:r>
        <w:rPr>
          <w:rFonts w:hint="eastAsia" w:ascii="仿宋_GB2312" w:hAnsi="仿宋_GB2312" w:eastAsia="仿宋_GB2312" w:cs="仿宋_GB2312"/>
          <w:color w:val="000000"/>
          <w:kern w:val="0"/>
          <w:sz w:val="32"/>
          <w:szCs w:val="32"/>
          <w:shd w:val="clear" w:color="auto" w:fill="FFFFFF"/>
        </w:rPr>
        <w:t>存在的主要问题</w:t>
      </w:r>
      <w:r>
        <w:rPr>
          <w:rFonts w:hint="eastAsia" w:ascii="仿宋_GB2312" w:hAnsi="仿宋_GB2312" w:eastAsia="仿宋_GB2312" w:cs="仿宋_GB2312"/>
          <w:color w:val="000000"/>
          <w:kern w:val="0"/>
          <w:sz w:val="32"/>
          <w:szCs w:val="32"/>
          <w:shd w:val="clear" w:color="auto" w:fill="FFFFFF"/>
          <w:lang w:eastAsia="zh-CN"/>
        </w:rPr>
        <w:t>及</w:t>
      </w:r>
      <w:r>
        <w:rPr>
          <w:rFonts w:hint="eastAsia" w:ascii="仿宋_GB2312" w:hAnsi="仿宋_GB2312" w:eastAsia="仿宋_GB2312" w:cs="仿宋_GB2312"/>
          <w:color w:val="000000"/>
          <w:kern w:val="0"/>
          <w:sz w:val="32"/>
          <w:szCs w:val="32"/>
          <w:shd w:val="clear" w:color="auto" w:fill="FFFFFF"/>
        </w:rPr>
        <w:t>改进情况</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其他需要报告的事项。</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一、总体情况</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eastAsia="zh-CN"/>
        </w:rPr>
        <w:t>安丘</w:t>
      </w:r>
      <w:r>
        <w:rPr>
          <w:rFonts w:hint="eastAsia" w:ascii="仿宋_GB2312" w:hAnsi="仿宋_GB2312" w:eastAsia="仿宋_GB2312" w:cs="仿宋_GB2312"/>
          <w:color w:val="000000"/>
          <w:kern w:val="0"/>
          <w:sz w:val="32"/>
          <w:szCs w:val="32"/>
          <w:shd w:val="clear" w:color="auto" w:fill="FFFFFF"/>
        </w:rPr>
        <w:t>市投资合作促进中心坚持以习近平新时代中国特色社会主义思想为指导，认真贯彻落实省、市关于政府信息公开工作的要求，坚持以公开为常态、不公开为例外，加大公开力度，提升履职能力，为群众办事提供便利</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w:t>
      </w:r>
      <w:r>
        <w:rPr>
          <w:rFonts w:hint="eastAsia" w:ascii="楷体" w:hAnsi="楷体" w:eastAsia="楷体" w:cs="楷体"/>
          <w:color w:val="000000"/>
          <w:kern w:val="0"/>
          <w:sz w:val="32"/>
          <w:szCs w:val="32"/>
          <w:shd w:val="clear" w:color="auto" w:fill="FFFFFF"/>
        </w:rPr>
        <w:t>（一）主动公开</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1.体制机制建设情况</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lang w:val="en-US" w:eastAsia="zh-CN"/>
        </w:rPr>
        <w:t>中心不断完善体制机制建设，及时更新机构设置、领导信息、联系方式、办公地址等情况，并在市政府网站信息公开专栏公布。</w:t>
      </w:r>
    </w:p>
    <w:p>
      <w:pPr>
        <w:keepNext w:val="0"/>
        <w:keepLines w:val="0"/>
        <w:pageBreakBefore w:val="0"/>
        <w:widowControl w:val="0"/>
        <w:kinsoku/>
        <w:wordWrap w:val="0"/>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2.主动公开信息情况</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根据《政府信息公开条例》第二十条第（十一）款要求，结合</w:t>
      </w:r>
      <w:r>
        <w:rPr>
          <w:rFonts w:hint="eastAsia" w:ascii="仿宋_GB2312" w:hAnsi="仿宋_GB2312" w:eastAsia="仿宋_GB2312" w:cs="仿宋_GB2312"/>
          <w:color w:val="000000"/>
          <w:kern w:val="0"/>
          <w:sz w:val="32"/>
          <w:szCs w:val="32"/>
          <w:shd w:val="clear" w:color="auto" w:fill="FFFFFF"/>
          <w:lang w:eastAsia="zh-CN"/>
        </w:rPr>
        <w:t>我中心</w:t>
      </w:r>
      <w:r>
        <w:rPr>
          <w:rFonts w:hint="eastAsia" w:ascii="仿宋_GB2312" w:hAnsi="仿宋_GB2312" w:eastAsia="仿宋_GB2312" w:cs="仿宋_GB2312"/>
          <w:color w:val="000000"/>
          <w:kern w:val="0"/>
          <w:sz w:val="32"/>
          <w:szCs w:val="32"/>
          <w:shd w:val="clear" w:color="auto" w:fill="FFFFFF"/>
        </w:rPr>
        <w:t>工作实际，及时公开我市</w:t>
      </w:r>
      <w:r>
        <w:rPr>
          <w:rFonts w:hint="eastAsia" w:ascii="仿宋_GB2312" w:hAnsi="仿宋_GB2312" w:eastAsia="仿宋_GB2312" w:cs="仿宋_GB2312"/>
          <w:color w:val="000000"/>
          <w:kern w:val="0"/>
          <w:sz w:val="32"/>
          <w:szCs w:val="32"/>
          <w:shd w:val="clear" w:color="auto" w:fill="FFFFFF"/>
          <w:lang w:eastAsia="zh-CN"/>
        </w:rPr>
        <w:t>招商引资</w:t>
      </w:r>
      <w:r>
        <w:rPr>
          <w:rFonts w:hint="eastAsia" w:ascii="仿宋_GB2312" w:hAnsi="仿宋_GB2312" w:eastAsia="仿宋_GB2312" w:cs="仿宋_GB2312"/>
          <w:color w:val="000000"/>
          <w:kern w:val="0"/>
          <w:sz w:val="32"/>
          <w:szCs w:val="32"/>
          <w:shd w:val="clear" w:color="auto" w:fill="FFFFFF"/>
        </w:rPr>
        <w:t>动态，公开内容进一步细化，公从知晓度进一步提高。截止202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年12月31日，主动公开政府信息</w:t>
      </w: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，都是通过政府网站公开，没有通过政务新媒体和其它方式公开的信息</w:t>
      </w:r>
      <w:r>
        <w:rPr>
          <w:rFonts w:hint="eastAsia" w:ascii="仿宋_GB2312" w:hAnsi="仿宋_GB2312" w:eastAsia="仿宋_GB2312" w:cs="仿宋_GB2312"/>
          <w:color w:val="000000"/>
          <w:kern w:val="0"/>
          <w:sz w:val="32"/>
          <w:szCs w:val="32"/>
          <w:shd w:val="clear" w:color="auto" w:fill="FFFFFF"/>
        </w:rPr>
        <w:t>。其中,概况信息</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财政信息</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比去年增加</w:t>
      </w:r>
      <w:r>
        <w:rPr>
          <w:rFonts w:hint="eastAsia" w:ascii="仿宋_GB2312" w:hAnsi="仿宋_GB2312" w:eastAsia="仿宋_GB2312" w:cs="仿宋_GB2312"/>
          <w:color w:val="000000"/>
          <w:kern w:val="0"/>
          <w:sz w:val="32"/>
          <w:szCs w:val="32"/>
          <w:shd w:val="clear" w:color="auto" w:fill="FFFFFF"/>
          <w:lang w:val="en-US" w:eastAsia="zh-CN"/>
        </w:rPr>
        <w:t>2条，</w:t>
      </w:r>
      <w:r>
        <w:rPr>
          <w:rFonts w:hint="eastAsia" w:ascii="仿宋_GB2312" w:hAnsi="仿宋_GB2312" w:eastAsia="仿宋_GB2312" w:cs="仿宋_GB2312"/>
          <w:color w:val="000000"/>
          <w:kern w:val="0"/>
          <w:sz w:val="32"/>
          <w:szCs w:val="32"/>
          <w:shd w:val="clear" w:color="auto" w:fill="FFFFFF"/>
        </w:rPr>
        <w:t>业务信息及其他类信息1</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人大建议政协提案</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条。</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3.解读回应关切</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2021年，我单位主动做好政府开放日等政务信息公开工作</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（二）依申请公开</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shd w:val="clear" w:color="auto" w:fill="FFFFFF"/>
          <w:lang w:val="en-US" w:eastAsia="zh-CN"/>
        </w:rPr>
        <w:t>　</w:t>
      </w:r>
      <w:r>
        <w:rPr>
          <w:rFonts w:hint="default" w:ascii="仿宋_GB2312" w:hAnsi="仿宋_GB2312" w:eastAsia="仿宋_GB2312" w:cs="仿宋_GB2312"/>
          <w:color w:val="000000"/>
          <w:kern w:val="0"/>
          <w:sz w:val="32"/>
          <w:szCs w:val="32"/>
          <w:shd w:val="clear" w:color="auto" w:fill="FFFFFF"/>
          <w:lang w:val="en-US" w:eastAsia="zh-CN"/>
        </w:rPr>
        <w:t> </w:t>
      </w:r>
      <w:r>
        <w:rPr>
          <w:rFonts w:hint="eastAsia" w:ascii="仿宋_GB2312" w:hAnsi="仿宋_GB2312" w:eastAsia="仿宋_GB2312" w:cs="仿宋_GB2312"/>
          <w:color w:val="000000"/>
          <w:kern w:val="0"/>
          <w:sz w:val="32"/>
          <w:szCs w:val="32"/>
          <w:shd w:val="clear" w:color="auto" w:fill="FFFFFF"/>
          <w:lang w:val="en-US" w:eastAsia="zh-CN"/>
        </w:rPr>
        <w:t>2021年，我单位未收到公开申请，比去年减少1条。</w:t>
      </w:r>
      <w:r>
        <w:rPr>
          <w:rFonts w:hint="eastAsia" w:ascii="仿宋_GB2312" w:hAnsi="仿宋_GB2312" w:eastAsia="仿宋_GB2312" w:cs="仿宋_GB2312"/>
          <w:color w:val="000000"/>
          <w:kern w:val="0"/>
          <w:sz w:val="32"/>
          <w:szCs w:val="32"/>
          <w:shd w:val="clear" w:color="auto" w:fill="FFFFFF"/>
        </w:rPr>
        <w:t>全年未发生因政府信息公开被行政复议、提起行政诉讼情况。</w:t>
      </w:r>
      <w:r>
        <w:rPr>
          <w:rFonts w:hint="eastAsia" w:ascii="仿宋_GB2312" w:hAnsi="仿宋_GB2312" w:eastAsia="仿宋_GB2312" w:cs="仿宋_GB2312"/>
          <w:color w:val="000000"/>
          <w:kern w:val="0"/>
          <w:sz w:val="32"/>
          <w:szCs w:val="32"/>
          <w:shd w:val="clear" w:color="auto" w:fill="FFFFFF"/>
          <w:lang w:eastAsia="zh-CN"/>
        </w:rPr>
        <w:t>与去年持平</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没有收费。</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aps w:val="0"/>
          <w:color w:val="333333"/>
          <w:spacing w:val="0"/>
          <w:sz w:val="21"/>
          <w:szCs w:val="21"/>
          <w:shd w:val="clear" w:fill="FFFFFF"/>
        </w:rPr>
      </w:pPr>
      <w:r>
        <w:rPr>
          <w:rFonts w:hint="default" w:ascii="仿宋_GB2312" w:hAnsi="仿宋_GB2312" w:eastAsia="仿宋_GB2312" w:cs="仿宋_GB2312"/>
          <w:color w:val="000000"/>
          <w:kern w:val="0"/>
          <w:sz w:val="32"/>
          <w:szCs w:val="32"/>
          <w:shd w:val="clear" w:color="auto" w:fill="FFFFFF"/>
          <w:lang w:val="en-US" w:eastAsia="zh-CN"/>
        </w:rPr>
        <w:t>近年来我单位收到政府信息公开申请变化情况表</w:t>
      </w:r>
    </w:p>
    <w:p>
      <w:pPr>
        <w:pStyle w:val="2"/>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aps w:val="0"/>
          <w:color w:val="333333"/>
          <w:spacing w:val="0"/>
          <w:sz w:val="21"/>
          <w:szCs w:val="21"/>
          <w:shd w:val="clear" w:fill="FFFFFF"/>
        </w:rPr>
      </w:pPr>
      <w:r>
        <w:drawing>
          <wp:inline distT="0" distB="0" distL="114300" distR="114300">
            <wp:extent cx="4754880" cy="1835150"/>
            <wp:effectExtent l="0" t="0" r="762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754880" cy="1835150"/>
                    </a:xfrm>
                    <a:prstGeom prst="rect">
                      <a:avLst/>
                    </a:prstGeom>
                    <a:noFill/>
                    <a:ln>
                      <a:noFill/>
                    </a:ln>
                  </pic:spPr>
                </pic:pic>
              </a:graphicData>
            </a:graphic>
          </wp:inline>
        </w:drawing>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（三）政府信息管理</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安丘市投资合作促进中心严格落实政府信息公开“三级”审查制度，形成办公室初审、分管领导把关、主要负责领导签批的信息公开程序，全面推进政务公开工作。全年共开展政务公开培训2次，确保公开信息的准确性和时效性，将信息公开工作纳入日常考核，督促相关科室及时更新信息。</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文星楷体" w:hAnsi="文星楷体" w:eastAsia="文星楷体" w:cs="文星楷体"/>
          <w:i w:val="0"/>
          <w:caps w:val="0"/>
          <w:color w:val="333333"/>
          <w:spacing w:val="0"/>
          <w:sz w:val="32"/>
          <w:szCs w:val="32"/>
        </w:rPr>
      </w:pPr>
      <w:r>
        <w:rPr>
          <w:rFonts w:hint="eastAsia" w:ascii="仿宋" w:hAnsi="仿宋" w:eastAsia="仿宋" w:cs="仿宋"/>
          <w:color w:val="000000"/>
          <w:kern w:val="0"/>
          <w:sz w:val="32"/>
          <w:szCs w:val="32"/>
        </w:rPr>
        <w:t>　　</w:t>
      </w:r>
      <w:r>
        <w:rPr>
          <w:rFonts w:hint="eastAsia" w:ascii="文星楷体" w:hAnsi="文星楷体" w:eastAsia="文星楷体" w:cs="文星楷体"/>
          <w:i w:val="0"/>
          <w:caps w:val="0"/>
          <w:color w:val="333333"/>
          <w:spacing w:val="0"/>
          <w:sz w:val="32"/>
          <w:szCs w:val="32"/>
          <w:shd w:val="clear" w:fill="FFFFFF"/>
        </w:rPr>
        <w:t>（四）</w:t>
      </w:r>
      <w:r>
        <w:rPr>
          <w:rFonts w:hint="eastAsia" w:ascii="文星楷体" w:hAnsi="文星楷体" w:eastAsia="文星楷体" w:cs="文星楷体"/>
          <w:color w:val="000000"/>
          <w:kern w:val="0"/>
          <w:sz w:val="32"/>
          <w:szCs w:val="32"/>
          <w:shd w:val="clear" w:color="auto" w:fill="FFFFFF"/>
          <w:lang w:val="en-US" w:eastAsia="zh-CN"/>
        </w:rPr>
        <w:t>政府信息公开</w:t>
      </w:r>
      <w:r>
        <w:rPr>
          <w:rFonts w:hint="eastAsia" w:ascii="文星楷体" w:hAnsi="文星楷体" w:eastAsia="文星楷体" w:cs="文星楷体"/>
          <w:color w:val="000000"/>
          <w:kern w:val="0"/>
          <w:sz w:val="32"/>
          <w:szCs w:val="32"/>
          <w:shd w:val="clear" w:color="auto" w:fill="FFFFFF"/>
        </w:rPr>
        <w:t>平台</w:t>
      </w:r>
      <w:r>
        <w:rPr>
          <w:rFonts w:hint="eastAsia" w:ascii="文星楷体" w:hAnsi="文星楷体" w:eastAsia="文星楷体" w:cs="文星楷体"/>
          <w:i w:val="0"/>
          <w:caps w:val="0"/>
          <w:color w:val="333333"/>
          <w:spacing w:val="0"/>
          <w:sz w:val="32"/>
          <w:szCs w:val="32"/>
          <w:shd w:val="clear" w:fill="FFFFFF"/>
        </w:rPr>
        <w:t>建设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color w:val="000000"/>
          <w:kern w:val="0"/>
          <w:sz w:val="32"/>
          <w:szCs w:val="32"/>
          <w:shd w:val="clear" w:color="auto" w:fill="FFFFFF"/>
          <w:lang w:val="en-US" w:eastAsia="zh-CN" w:bidi="ar-SA"/>
        </w:rPr>
        <w:t>　我中心主要依托市政府门户网站进行政府信息公开，同时在中心办公场所设立政务公开栏，安排专人负责，做好公开平台的维护、运行工作。</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五</w:t>
      </w:r>
      <w:r>
        <w:rPr>
          <w:rFonts w:hint="eastAsia" w:ascii="文星楷体" w:hAnsi="文星楷体" w:eastAsia="文星楷体" w:cs="文星楷体"/>
          <w:color w:val="000000"/>
          <w:kern w:val="0"/>
          <w:sz w:val="32"/>
          <w:szCs w:val="32"/>
          <w:shd w:val="clear" w:color="auto" w:fill="FFFFFF"/>
        </w:rPr>
        <w:t>）监督保障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fill="FFFFFF"/>
          <w:lang w:val="en-US" w:eastAsia="zh-CN" w:bidi="ar"/>
        </w:rPr>
        <w:t>一是坚持内部监督和社会监督相结合，严格按照保密法和政府信息公开条例的有关规定，健全政府信息发布保密审查机制，确保涉密信息不公开，公开信息不涉密。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二是领导高度重视，</w:t>
      </w:r>
      <w:r>
        <w:rPr>
          <w:rFonts w:hint="eastAsia" w:ascii="仿宋_GB2312" w:hAnsi="仿宋_GB2312" w:eastAsia="仿宋_GB2312" w:cs="仿宋_GB2312"/>
          <w:color w:val="000000"/>
          <w:kern w:val="0"/>
          <w:sz w:val="32"/>
          <w:szCs w:val="32"/>
          <w:shd w:val="clear" w:color="auto" w:fill="FFFFFF"/>
          <w:lang w:val="en-US" w:eastAsia="zh-CN"/>
        </w:rPr>
        <w:t>调整完善以中心主要领导为组长，分管领导为副组长，科室负责人为成员的政府信息公开工作领导小组，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小组下设政务公开领导小组办公室定期汇报政务公开公开自查情况。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三是</w:t>
      </w:r>
      <w:r>
        <w:rPr>
          <w:rFonts w:hint="eastAsia" w:ascii="仿宋_GB2312" w:hAnsi="仿宋_GB2312" w:eastAsia="仿宋_GB2312" w:cs="仿宋_GB2312"/>
          <w:color w:val="000000"/>
          <w:kern w:val="0"/>
          <w:sz w:val="32"/>
          <w:szCs w:val="32"/>
          <w:shd w:val="clear" w:color="auto" w:fill="FFFFFF"/>
          <w:lang w:val="en-US" w:eastAsia="zh-CN"/>
        </w:rPr>
        <w:t>按照《安丘市投资合作促进中心2021年度政务公开工作业务培训计划》，我中心分别于4月、11月组织开展了2次政务公开培训，参加人员为各科室负责人及政务公开工作具体负责同志，内容为传达工作要求和分配业务目标，确保政务公开培训常态化。</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000000"/>
          <w:kern w:val="0"/>
          <w:sz w:val="32"/>
          <w:szCs w:val="32"/>
        </w:rPr>
      </w:pPr>
      <w:r>
        <w:rPr>
          <w:rFonts w:hint="eastAsia" w:ascii="微软雅黑" w:hAnsi="微软雅黑" w:eastAsia="微软雅黑" w:cs="微软雅黑"/>
          <w:i w:val="0"/>
          <w:iCs w:val="0"/>
          <w:caps w:val="0"/>
          <w:color w:val="000000"/>
          <w:spacing w:val="0"/>
          <w:sz w:val="24"/>
          <w:szCs w:val="24"/>
        </w:rPr>
        <w:t>　</w:t>
      </w:r>
      <w:r>
        <w:rPr>
          <w:rFonts w:hint="eastAsia" w:ascii="黑体" w:hAnsi="黑体" w:eastAsia="黑体" w:cs="黑体"/>
          <w:color w:val="000000"/>
          <w:kern w:val="0"/>
          <w:sz w:val="32"/>
          <w:szCs w:val="32"/>
          <w:shd w:val="clear" w:color="auto" w:fill="FFFFFF"/>
        </w:rPr>
        <w:t>二、主动公开政府信息情况</w:t>
      </w:r>
    </w:p>
    <w:tbl>
      <w:tblPr>
        <w:tblStyle w:val="9"/>
        <w:tblW w:w="8708" w:type="dxa"/>
        <w:jc w:val="center"/>
        <w:tblLayout w:type="autofit"/>
        <w:tblCellMar>
          <w:top w:w="15" w:type="dxa"/>
          <w:left w:w="15" w:type="dxa"/>
          <w:bottom w:w="15" w:type="dxa"/>
          <w:right w:w="15" w:type="dxa"/>
        </w:tblCellMar>
      </w:tblPr>
      <w:tblGrid>
        <w:gridCol w:w="2799"/>
        <w:gridCol w:w="2040"/>
        <w:gridCol w:w="1851"/>
        <w:gridCol w:w="2018"/>
      </w:tblGrid>
      <w:tr>
        <w:tblPrEx>
          <w:tblCellMar>
            <w:top w:w="15" w:type="dxa"/>
            <w:left w:w="15" w:type="dxa"/>
            <w:bottom w:w="15" w:type="dxa"/>
            <w:right w:w="15" w:type="dxa"/>
          </w:tblCellMar>
        </w:tblPrEx>
        <w:trPr>
          <w:trHeight w:val="594"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第二十条第（一）项</w:t>
            </w:r>
          </w:p>
        </w:tc>
      </w:tr>
      <w:tr>
        <w:tblPrEx>
          <w:tblCellMar>
            <w:top w:w="15" w:type="dxa"/>
            <w:left w:w="15" w:type="dxa"/>
            <w:bottom w:w="15" w:type="dxa"/>
            <w:right w:w="15" w:type="dxa"/>
          </w:tblCellMar>
        </w:tblPrEx>
        <w:trPr>
          <w:trHeight w:val="58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20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lang w:val="en-US" w:eastAsia="zh-CN"/>
              </w:rPr>
            </w:pPr>
            <w:r>
              <w:rPr>
                <w:rFonts w:hint="eastAsia"/>
              </w:rPr>
              <w:t>本年</w:t>
            </w:r>
            <w:r>
              <w:rPr>
                <w:rFonts w:hint="eastAsia"/>
                <w:lang w:val="en-US" w:eastAsia="zh-CN"/>
              </w:rPr>
              <w:t>制发件数</w:t>
            </w:r>
          </w:p>
        </w:tc>
        <w:tc>
          <w:tcPr>
            <w:tcW w:w="1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本年</w:t>
            </w:r>
            <w:r>
              <w:rPr>
                <w:rFonts w:hint="eastAsia" w:ascii="仿宋" w:hAnsi="仿宋" w:eastAsia="仿宋" w:cs="仿宋"/>
                <w:kern w:val="0"/>
                <w:sz w:val="24"/>
                <w:szCs w:val="24"/>
                <w:lang w:val="en-US" w:eastAsia="zh-CN"/>
              </w:rPr>
              <w:t>废止件数</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现行有效件数</w:t>
            </w:r>
          </w:p>
        </w:tc>
      </w:tr>
      <w:tr>
        <w:tblPrEx>
          <w:tblCellMar>
            <w:top w:w="15" w:type="dxa"/>
            <w:left w:w="15" w:type="dxa"/>
            <w:bottom w:w="15" w:type="dxa"/>
            <w:right w:w="15" w:type="dxa"/>
          </w:tblCellMar>
        </w:tblPrEx>
        <w:trPr>
          <w:trHeight w:val="39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规章</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04"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行政</w:t>
            </w:r>
            <w:r>
              <w:rPr>
                <w:rFonts w:hint="eastAsia" w:ascii="仿宋" w:hAnsi="仿宋" w:eastAsia="仿宋" w:cs="仿宋"/>
                <w:kern w:val="0"/>
                <w:sz w:val="24"/>
                <w:szCs w:val="24"/>
              </w:rPr>
              <w:t>规范性文件</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80"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第二十条第（五）项</w:t>
            </w:r>
          </w:p>
        </w:tc>
      </w:tr>
      <w:tr>
        <w:tblPrEx>
          <w:tblCellMar>
            <w:top w:w="15" w:type="dxa"/>
            <w:left w:w="15" w:type="dxa"/>
            <w:bottom w:w="15" w:type="dxa"/>
            <w:right w:w="15" w:type="dxa"/>
          </w:tblCellMar>
        </w:tblPrEx>
        <w:trPr>
          <w:trHeight w:val="51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宋体" w:hAnsi="宋体" w:eastAsia="宋体" w:cs="宋体"/>
                <w:color w:val="000000"/>
                <w:kern w:val="0"/>
                <w:sz w:val="20"/>
                <w:szCs w:val="20"/>
                <w:lang w:val="en-US" w:eastAsia="zh-CN" w:bidi="ar"/>
              </w:rPr>
              <w:t>本年处理决定数量</w:t>
            </w:r>
          </w:p>
        </w:tc>
      </w:tr>
      <w:tr>
        <w:tblPrEx>
          <w:tblCellMar>
            <w:top w:w="15" w:type="dxa"/>
            <w:left w:w="15" w:type="dxa"/>
            <w:bottom w:w="15" w:type="dxa"/>
            <w:right w:w="15" w:type="dxa"/>
          </w:tblCellMar>
        </w:tblPrEx>
        <w:trPr>
          <w:trHeight w:val="455"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行政许可</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15" w:type="dxa"/>
            <w:left w:w="15" w:type="dxa"/>
            <w:bottom w:w="15" w:type="dxa"/>
            <w:right w:w="15" w:type="dxa"/>
          </w:tblCellMar>
        </w:tblPrEx>
        <w:trPr>
          <w:trHeight w:val="49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第二十条第（六）项</w:t>
            </w:r>
          </w:p>
        </w:tc>
      </w:tr>
      <w:tr>
        <w:tblPrEx>
          <w:tblCellMar>
            <w:top w:w="15" w:type="dxa"/>
            <w:left w:w="15" w:type="dxa"/>
            <w:bottom w:w="15" w:type="dxa"/>
            <w:right w:w="15" w:type="dxa"/>
          </w:tblCellMar>
        </w:tblPrEx>
        <w:trPr>
          <w:trHeight w:val="5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w:t>
            </w:r>
            <w:r>
              <w:rPr>
                <w:rFonts w:hint="eastAsia" w:ascii="仿宋" w:hAnsi="仿宋" w:eastAsia="仿宋" w:cs="仿宋"/>
                <w:kern w:val="0"/>
                <w:sz w:val="24"/>
                <w:szCs w:val="24"/>
              </w:rPr>
              <w:t>处理决定数量</w:t>
            </w:r>
          </w:p>
        </w:tc>
      </w:tr>
      <w:tr>
        <w:tblPrEx>
          <w:tblCellMar>
            <w:top w:w="15" w:type="dxa"/>
            <w:left w:w="15" w:type="dxa"/>
            <w:bottom w:w="15" w:type="dxa"/>
            <w:right w:w="15" w:type="dxa"/>
          </w:tblCellMar>
        </w:tblPrEx>
        <w:trPr>
          <w:trHeight w:val="43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行政处罚</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0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行政强制</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第二十条第（八）项</w:t>
            </w:r>
          </w:p>
        </w:tc>
      </w:tr>
      <w:tr>
        <w:tblPrEx>
          <w:tblCellMar>
            <w:top w:w="15" w:type="dxa"/>
            <w:left w:w="15" w:type="dxa"/>
            <w:bottom w:w="15" w:type="dxa"/>
            <w:right w:w="15" w:type="dxa"/>
          </w:tblCellMar>
        </w:tblPrEx>
        <w:trPr>
          <w:trHeight w:val="4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本年收费金额（单位：万元）</w:t>
            </w:r>
          </w:p>
        </w:tc>
      </w:tr>
      <w:tr>
        <w:tblPrEx>
          <w:tblCellMar>
            <w:top w:w="15" w:type="dxa"/>
            <w:left w:w="15" w:type="dxa"/>
            <w:bottom w:w="15" w:type="dxa"/>
            <w:right w:w="15" w:type="dxa"/>
          </w:tblCellMar>
        </w:tblPrEx>
        <w:trPr>
          <w:trHeight w:val="44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行政事业性收费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bl>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三、收到和处理政府信息公开申请情况</w:t>
      </w:r>
    </w:p>
    <w:tbl>
      <w:tblPr>
        <w:tblStyle w:val="9"/>
        <w:tblW w:w="9071" w:type="dxa"/>
        <w:jc w:val="center"/>
        <w:tblLayout w:type="autofit"/>
        <w:tblCellMar>
          <w:top w:w="15" w:type="dxa"/>
          <w:left w:w="15" w:type="dxa"/>
          <w:bottom w:w="15" w:type="dxa"/>
          <w:right w:w="15" w:type="dxa"/>
        </w:tblCellMar>
      </w:tblPr>
      <w:tblGrid>
        <w:gridCol w:w="696"/>
        <w:gridCol w:w="1374"/>
        <w:gridCol w:w="2688"/>
        <w:gridCol w:w="829"/>
        <w:gridCol w:w="572"/>
        <w:gridCol w:w="572"/>
        <w:gridCol w:w="572"/>
        <w:gridCol w:w="572"/>
        <w:gridCol w:w="572"/>
        <w:gridCol w:w="624"/>
      </w:tblGrid>
      <w:tr>
        <w:tblPrEx>
          <w:tblCellMar>
            <w:top w:w="15" w:type="dxa"/>
            <w:left w:w="15" w:type="dxa"/>
            <w:bottom w:w="15" w:type="dxa"/>
            <w:right w:w="15" w:type="dxa"/>
          </w:tblCellMar>
        </w:tblPrEx>
        <w:trPr>
          <w:trHeight w:val="413" w:hRule="atLeast"/>
          <w:jc w:val="center"/>
        </w:trPr>
        <w:tc>
          <w:tcPr>
            <w:tcW w:w="47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（本列数据的勾稽关系为：第一项加第二项之和，等于第三项加第四项之和）</w:t>
            </w:r>
          </w:p>
        </w:tc>
        <w:tc>
          <w:tcPr>
            <w:tcW w:w="431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8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自然人</w:t>
            </w:r>
          </w:p>
        </w:tc>
        <w:tc>
          <w:tcPr>
            <w:tcW w:w="286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法人或其他组织</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商业企业</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科研机构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社会公益组织</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法律服务机构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6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一、本年新收政府信息公开申请数量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二、上年结转政府信息公开申请数量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三、本年度办理结果</w:t>
            </w: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（一）予以公开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（二）部分公开（区分处理的，只计这一情形，不计其他情形）</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（三）不予公开</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1.属于国家秘密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2.其他法律行政法规禁止公开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3.危及“三安全一稳定”</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4.保护第三方合法权益</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5.属于三类内部事务信息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6.属于四类过程性信息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7.属于行政执法案卷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8.属于行政查询事项</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（四）无法提供</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1.本机关不掌握相关政府信息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2.没有现成信息需要另行制作</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3.补正后申请内容仍不明确</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（五）不予处理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1.信访举报投诉类申请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3.要求提供公开出版物</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4.无正当理由大量反复申请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5.要求行政机关确认或重新出具已获取信息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restart"/>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（六）其他处理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1.申请人无正当理由逾期不补正、行政机关不再处理其政府信息公开申请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continue"/>
            <w:tcBorders>
              <w:left w:val="nil"/>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2.申请人逾期未按收费通知要求缴纳费用、行政机关不再处理其政府信息公开申请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137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3.其他</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（七）总计</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四、结转下年度继续办理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bl>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四、政府信息公开行政复议、行政诉讼情况</w:t>
      </w:r>
    </w:p>
    <w:tbl>
      <w:tblPr>
        <w:tblStyle w:val="9"/>
        <w:tblW w:w="9071" w:type="dxa"/>
        <w:jc w:val="center"/>
        <w:tblLayout w:type="autofit"/>
        <w:tblCellMar>
          <w:top w:w="15" w:type="dxa"/>
          <w:left w:w="15" w:type="dxa"/>
          <w:bottom w:w="15" w:type="dxa"/>
          <w:right w:w="15" w:type="dxa"/>
        </w:tblCellMar>
      </w:tblPr>
      <w:tblGrid>
        <w:gridCol w:w="604"/>
        <w:gridCol w:w="604"/>
        <w:gridCol w:w="604"/>
        <w:gridCol w:w="604"/>
        <w:gridCol w:w="562"/>
        <w:gridCol w:w="646"/>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297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行政复议</w:t>
            </w:r>
          </w:p>
        </w:tc>
        <w:tc>
          <w:tcPr>
            <w:tcW w:w="609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49" w:right="-17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w:t>
            </w:r>
          </w:p>
          <w:p>
            <w:pPr>
              <w:keepNext w:val="0"/>
              <w:keepLines w:val="0"/>
              <w:pageBreakBefore w:val="0"/>
              <w:widowControl w:val="0"/>
              <w:kinsoku/>
              <w:overflowPunct/>
              <w:topLinePunct w:val="0"/>
              <w:autoSpaceDE/>
              <w:autoSpaceDN/>
              <w:bidi w:val="0"/>
              <w:adjustRightInd/>
              <w:snapToGrid/>
              <w:spacing w:line="240" w:lineRule="auto"/>
              <w:ind w:right="-17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43" w:right="-13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82" w:right="-9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18" w:right="-118"/>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尚未</w:t>
            </w:r>
          </w:p>
          <w:p>
            <w:pPr>
              <w:keepNext w:val="0"/>
              <w:keepLines w:val="0"/>
              <w:pageBreakBefore w:val="0"/>
              <w:widowControl w:val="0"/>
              <w:kinsoku/>
              <w:overflowPunct/>
              <w:topLinePunct w:val="0"/>
              <w:autoSpaceDE/>
              <w:autoSpaceDN/>
              <w:bidi w:val="0"/>
              <w:adjustRightInd/>
              <w:snapToGrid/>
              <w:spacing w:line="240" w:lineRule="auto"/>
              <w:ind w:right="-11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5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计</w:t>
            </w:r>
          </w:p>
        </w:tc>
        <w:tc>
          <w:tcPr>
            <w:tcW w:w="306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复议后起诉</w:t>
            </w:r>
          </w:p>
        </w:tc>
      </w:tr>
      <w:tr>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562"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right="-12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86" w:right="-8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right="-13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　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w:t>
            </w:r>
          </w:p>
          <w:p>
            <w:pPr>
              <w:keepNext w:val="0"/>
              <w:keepLines w:val="0"/>
              <w:pageBreakBefore w:val="0"/>
              <w:widowControl w:val="0"/>
              <w:kinsoku/>
              <w:overflowPunct/>
              <w:topLinePunct w:val="0"/>
              <w:autoSpaceDE/>
              <w:autoSpaceDN/>
              <w:bidi w:val="0"/>
              <w:adjustRightInd/>
              <w:snapToGrid/>
              <w:spacing w:line="240" w:lineRule="auto"/>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99" w:right="-7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36" w:right="-124"/>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　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w:t>
            </w:r>
          </w:p>
          <w:p>
            <w:pPr>
              <w:keepNext w:val="0"/>
              <w:keepLines w:val="0"/>
              <w:pageBreakBefore w:val="0"/>
              <w:widowControl w:val="0"/>
              <w:kinsoku/>
              <w:overflowPunct/>
              <w:topLinePunct w:val="0"/>
              <w:autoSpaceDE/>
              <w:autoSpaceDN/>
              <w:bidi w:val="0"/>
              <w:adjustRightInd/>
              <w:snapToGrid/>
              <w:spacing w:line="240" w:lineRule="auto"/>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ind w:left="-67" w:right="-105"/>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bl>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五、存在的主要问题及改进情况</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文星楷体" w:hAnsi="文星楷体" w:eastAsia="文星楷体" w:cs="文星楷体"/>
          <w:color w:val="000000"/>
          <w:kern w:val="0"/>
          <w:sz w:val="32"/>
          <w:szCs w:val="32"/>
          <w:shd w:val="clear" w:color="auto" w:fill="FFFFFF"/>
          <w:lang w:val="en-US" w:eastAsia="zh-CN"/>
        </w:rPr>
      </w:pPr>
      <w:r>
        <w:rPr>
          <w:rFonts w:hint="eastAsia" w:ascii="文星楷体" w:hAnsi="文星楷体" w:eastAsia="文星楷体" w:cs="文星楷体"/>
          <w:color w:val="000000"/>
          <w:kern w:val="0"/>
          <w:sz w:val="32"/>
          <w:szCs w:val="32"/>
          <w:shd w:val="clear" w:color="auto" w:fill="FFFFFF"/>
          <w:lang w:val="en-US" w:eastAsia="zh-CN"/>
        </w:rPr>
        <w:t>（一）2020年问题整改情况</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一是对从事政府信息公开的工作人员开展业务培训，加深了他们对《政府信息公开条例》的理解。</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二是完善政府信息公开工作机制。调整完善以中心主要负责领导为组长，分管领导为副组长，各科室负责人为成员的政府信息公开工作领导小组，常态化工作部署，细化分工，责任到人。</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二</w:t>
      </w:r>
      <w:r>
        <w:rPr>
          <w:rFonts w:hint="eastAsia" w:ascii="文星楷体" w:hAnsi="文星楷体" w:eastAsia="文星楷体" w:cs="文星楷体"/>
          <w:color w:val="000000"/>
          <w:kern w:val="0"/>
          <w:sz w:val="32"/>
          <w:szCs w:val="32"/>
          <w:shd w:val="clear" w:color="auto" w:fill="FFFFFF"/>
        </w:rPr>
        <w:t>）20</w:t>
      </w:r>
      <w:r>
        <w:rPr>
          <w:rFonts w:hint="eastAsia" w:ascii="文星楷体" w:hAnsi="文星楷体" w:eastAsia="文星楷体" w:cs="文星楷体"/>
          <w:color w:val="000000"/>
          <w:kern w:val="0"/>
          <w:sz w:val="32"/>
          <w:szCs w:val="32"/>
          <w:shd w:val="clear" w:color="auto" w:fill="FFFFFF"/>
          <w:lang w:val="en-US" w:eastAsia="zh-CN"/>
        </w:rPr>
        <w:t>21</w:t>
      </w:r>
      <w:r>
        <w:rPr>
          <w:rFonts w:hint="eastAsia" w:ascii="文星楷体" w:hAnsi="文星楷体" w:eastAsia="文星楷体" w:cs="文星楷体"/>
          <w:color w:val="000000"/>
          <w:kern w:val="0"/>
          <w:sz w:val="32"/>
          <w:szCs w:val="32"/>
          <w:shd w:val="clear" w:color="auto" w:fill="FFFFFF"/>
        </w:rPr>
        <w:t>年存在的主要问题</w:t>
      </w:r>
      <w:r>
        <w:rPr>
          <w:rFonts w:hint="eastAsia" w:ascii="文星楷体" w:hAnsi="文星楷体" w:eastAsia="文星楷体" w:cs="文星楷体"/>
          <w:color w:val="000000"/>
          <w:kern w:val="0"/>
          <w:sz w:val="32"/>
          <w:szCs w:val="32"/>
          <w:shd w:val="clear" w:color="auto" w:fill="FFFFFF"/>
          <w:lang w:eastAsia="zh-CN"/>
        </w:rPr>
        <w:t>及</w:t>
      </w:r>
      <w:r>
        <w:rPr>
          <w:rFonts w:hint="eastAsia" w:ascii="文星楷体" w:hAnsi="文星楷体" w:eastAsia="文星楷体" w:cs="文星楷体"/>
          <w:color w:val="000000"/>
          <w:kern w:val="0"/>
          <w:sz w:val="32"/>
          <w:szCs w:val="32"/>
          <w:shd w:val="clear" w:color="auto" w:fill="FFFFFF"/>
        </w:rPr>
        <w:t>改进</w:t>
      </w:r>
      <w:r>
        <w:rPr>
          <w:rFonts w:hint="eastAsia" w:ascii="文星楷体" w:hAnsi="文星楷体" w:eastAsia="文星楷体" w:cs="文星楷体"/>
          <w:color w:val="000000"/>
          <w:kern w:val="0"/>
          <w:sz w:val="32"/>
          <w:szCs w:val="32"/>
          <w:shd w:val="clear" w:color="auto" w:fill="FFFFFF"/>
          <w:lang w:eastAsia="zh-CN"/>
        </w:rPr>
        <w:t>情况</w:t>
      </w:r>
      <w:r>
        <w:rPr>
          <w:rFonts w:hint="eastAsia" w:ascii="文星楷体" w:hAnsi="文星楷体" w:eastAsia="文星楷体" w:cs="文星楷体"/>
          <w:color w:val="000000"/>
          <w:kern w:val="0"/>
          <w:sz w:val="32"/>
          <w:szCs w:val="32"/>
          <w:shd w:val="clear" w:color="auto" w:fill="FFFFFF"/>
        </w:rPr>
        <w:t>。</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shd w:val="clear" w:color="auto" w:fill="FFFFFF"/>
          <w:lang w:eastAsia="zh-CN"/>
        </w:rPr>
        <w:t>主要问题：</w:t>
      </w:r>
      <w:r>
        <w:rPr>
          <w:rFonts w:hint="eastAsia" w:ascii="仿宋" w:hAnsi="仿宋" w:eastAsia="仿宋" w:cs="仿宋"/>
          <w:color w:val="000000"/>
          <w:kern w:val="0"/>
          <w:sz w:val="32"/>
          <w:szCs w:val="32"/>
          <w:shd w:val="clear" w:color="auto" w:fill="FFFFFF"/>
        </w:rPr>
        <w:t>一是</w:t>
      </w:r>
      <w:r>
        <w:rPr>
          <w:rFonts w:hint="eastAsia" w:ascii="仿宋" w:hAnsi="仿宋" w:eastAsia="仿宋" w:cs="仿宋"/>
          <w:color w:val="000000"/>
          <w:kern w:val="0"/>
          <w:sz w:val="32"/>
          <w:szCs w:val="32"/>
          <w:shd w:val="clear" w:color="auto" w:fill="FFFFFF"/>
          <w:lang w:eastAsia="zh-CN"/>
        </w:rPr>
        <w:t>可以</w:t>
      </w:r>
      <w:r>
        <w:rPr>
          <w:rFonts w:hint="eastAsia" w:ascii="仿宋" w:hAnsi="仿宋" w:eastAsia="仿宋" w:cs="仿宋"/>
          <w:color w:val="000000"/>
          <w:kern w:val="0"/>
          <w:sz w:val="32"/>
          <w:szCs w:val="32"/>
          <w:shd w:val="clear" w:color="auto" w:fill="FFFFFF"/>
        </w:rPr>
        <w:t>公开</w:t>
      </w:r>
      <w:r>
        <w:rPr>
          <w:rFonts w:hint="eastAsia" w:ascii="仿宋" w:hAnsi="仿宋" w:eastAsia="仿宋" w:cs="仿宋"/>
          <w:color w:val="000000"/>
          <w:kern w:val="0"/>
          <w:sz w:val="32"/>
          <w:szCs w:val="32"/>
          <w:shd w:val="clear" w:color="auto" w:fill="FFFFFF"/>
          <w:lang w:eastAsia="zh-CN"/>
        </w:rPr>
        <w:t>的</w:t>
      </w:r>
      <w:r>
        <w:rPr>
          <w:rFonts w:hint="eastAsia" w:ascii="仿宋" w:hAnsi="仿宋" w:eastAsia="仿宋" w:cs="仿宋"/>
          <w:color w:val="000000"/>
          <w:kern w:val="0"/>
          <w:sz w:val="32"/>
          <w:szCs w:val="32"/>
          <w:shd w:val="clear" w:color="auto" w:fill="FFFFFF"/>
        </w:rPr>
        <w:t>信息</w:t>
      </w:r>
      <w:r>
        <w:rPr>
          <w:rFonts w:hint="eastAsia" w:ascii="仿宋" w:hAnsi="仿宋" w:eastAsia="仿宋" w:cs="仿宋"/>
          <w:color w:val="000000"/>
          <w:kern w:val="0"/>
          <w:sz w:val="32"/>
          <w:szCs w:val="32"/>
          <w:shd w:val="clear" w:color="auto" w:fill="FFFFFF"/>
          <w:lang w:eastAsia="zh-CN"/>
        </w:rPr>
        <w:t>来源有限</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主要是我单位内部产生</w:t>
      </w:r>
      <w:r>
        <w:rPr>
          <w:rFonts w:hint="eastAsia" w:ascii="仿宋" w:hAnsi="仿宋" w:eastAsia="仿宋" w:cs="仿宋"/>
          <w:color w:val="000000"/>
          <w:kern w:val="0"/>
          <w:sz w:val="32"/>
          <w:szCs w:val="32"/>
          <w:shd w:val="clear" w:color="auto" w:fill="FFFFFF"/>
        </w:rPr>
        <w:t>。二是</w:t>
      </w:r>
      <w:r>
        <w:rPr>
          <w:rFonts w:hint="eastAsia" w:ascii="仿宋" w:hAnsi="仿宋" w:eastAsia="仿宋" w:cs="仿宋"/>
          <w:color w:val="000000"/>
          <w:kern w:val="0"/>
          <w:sz w:val="32"/>
          <w:szCs w:val="32"/>
          <w:shd w:val="clear" w:color="auto" w:fill="FFFFFF"/>
          <w:lang w:eastAsia="zh-CN"/>
        </w:rPr>
        <w:t>政务公开工作人员</w:t>
      </w:r>
      <w:r>
        <w:rPr>
          <w:rFonts w:hint="eastAsia" w:ascii="仿宋" w:hAnsi="仿宋" w:eastAsia="仿宋" w:cs="仿宋"/>
          <w:color w:val="000000"/>
          <w:kern w:val="0"/>
          <w:sz w:val="32"/>
          <w:szCs w:val="32"/>
          <w:shd w:val="clear" w:color="auto" w:fill="FFFFFF"/>
        </w:rPr>
        <w:t>工作水平</w:t>
      </w:r>
      <w:r>
        <w:rPr>
          <w:rFonts w:hint="eastAsia" w:ascii="仿宋" w:hAnsi="仿宋" w:eastAsia="仿宋" w:cs="仿宋"/>
          <w:color w:val="000000"/>
          <w:kern w:val="0"/>
          <w:sz w:val="32"/>
          <w:szCs w:val="32"/>
          <w:shd w:val="clear" w:color="auto" w:fill="FFFFFF"/>
          <w:lang w:eastAsia="zh-CN"/>
        </w:rPr>
        <w:t>有限，还需</w:t>
      </w:r>
      <w:r>
        <w:rPr>
          <w:rFonts w:hint="eastAsia" w:ascii="仿宋" w:hAnsi="仿宋" w:eastAsia="仿宋" w:cs="仿宋"/>
          <w:color w:val="000000"/>
          <w:kern w:val="0"/>
          <w:sz w:val="32"/>
          <w:szCs w:val="32"/>
          <w:shd w:val="clear" w:color="auto" w:fill="FFFFFF"/>
        </w:rPr>
        <w:t>不断提高。</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kern w:val="0"/>
          <w:sz w:val="32"/>
          <w:szCs w:val="32"/>
        </w:rPr>
      </w:pPr>
      <w:r>
        <w:rPr>
          <w:rFonts w:hint="eastAsia" w:ascii="文星楷体" w:hAnsi="文星楷体" w:eastAsia="文星楷体" w:cs="文星楷体"/>
          <w:color w:val="000000"/>
          <w:kern w:val="0"/>
          <w:sz w:val="32"/>
          <w:szCs w:val="32"/>
        </w:rPr>
        <w:t>　</w:t>
      </w:r>
      <w:r>
        <w:rPr>
          <w:rFonts w:hint="eastAsia" w:ascii="仿宋" w:hAnsi="仿宋" w:eastAsia="仿宋" w:cs="仿宋"/>
          <w:color w:val="000000"/>
          <w:kern w:val="0"/>
          <w:sz w:val="32"/>
          <w:szCs w:val="32"/>
          <w:shd w:val="clear" w:color="auto" w:fill="FFFFFF"/>
          <w:lang w:eastAsia="zh-CN"/>
        </w:rPr>
        <w:t>　</w:t>
      </w:r>
      <w:r>
        <w:rPr>
          <w:rFonts w:hint="eastAsia" w:ascii="仿宋" w:hAnsi="仿宋" w:eastAsia="仿宋" w:cs="仿宋"/>
          <w:b/>
          <w:bCs/>
          <w:color w:val="000000"/>
          <w:kern w:val="0"/>
          <w:sz w:val="32"/>
          <w:szCs w:val="32"/>
          <w:shd w:val="clear" w:color="auto" w:fill="FFFFFF"/>
          <w:lang w:eastAsia="zh-CN"/>
        </w:rPr>
        <w:t>改进情况：</w:t>
      </w:r>
      <w:r>
        <w:rPr>
          <w:rFonts w:hint="eastAsia" w:ascii="仿宋" w:hAnsi="仿宋" w:eastAsia="仿宋" w:cs="仿宋"/>
          <w:color w:val="000000"/>
          <w:kern w:val="0"/>
          <w:sz w:val="32"/>
          <w:szCs w:val="32"/>
          <w:shd w:val="clear" w:color="auto" w:fill="FFFFFF"/>
          <w:lang w:eastAsia="zh-CN"/>
        </w:rPr>
        <w:t>一是拓宽信息公开</w:t>
      </w:r>
      <w:r>
        <w:rPr>
          <w:rFonts w:hint="eastAsia" w:ascii="仿宋" w:hAnsi="仿宋" w:eastAsia="仿宋" w:cs="仿宋"/>
          <w:color w:val="000000"/>
          <w:kern w:val="0"/>
          <w:sz w:val="32"/>
          <w:szCs w:val="32"/>
          <w:shd w:val="clear" w:color="auto" w:fill="FFFFFF"/>
          <w:lang w:val="en-US" w:eastAsia="zh-CN"/>
        </w:rPr>
        <w:t>来源</w:t>
      </w:r>
      <w:r>
        <w:rPr>
          <w:rFonts w:hint="eastAsia" w:ascii="仿宋" w:hAnsi="仿宋" w:eastAsia="仿宋" w:cs="仿宋"/>
          <w:color w:val="000000"/>
          <w:kern w:val="0"/>
          <w:sz w:val="32"/>
          <w:szCs w:val="32"/>
          <w:shd w:val="clear" w:color="auto" w:fill="FFFFFF"/>
          <w:lang w:eastAsia="zh-CN"/>
        </w:rPr>
        <w:t>，进一步加强与新闻媒体的联系，</w:t>
      </w:r>
      <w:r>
        <w:rPr>
          <w:rFonts w:hint="eastAsia" w:ascii="仿宋" w:hAnsi="仿宋" w:eastAsia="仿宋" w:cs="仿宋"/>
          <w:color w:val="000000"/>
          <w:kern w:val="0"/>
          <w:sz w:val="32"/>
          <w:szCs w:val="32"/>
          <w:shd w:val="clear" w:color="auto" w:fill="FFFFFF"/>
          <w:lang w:val="en-US" w:eastAsia="zh-CN"/>
        </w:rPr>
        <w:t>多方收集</w:t>
      </w:r>
      <w:r>
        <w:rPr>
          <w:rFonts w:hint="eastAsia" w:ascii="仿宋" w:hAnsi="仿宋" w:eastAsia="仿宋" w:cs="仿宋"/>
          <w:color w:val="000000"/>
          <w:kern w:val="0"/>
          <w:sz w:val="32"/>
          <w:szCs w:val="32"/>
          <w:shd w:val="clear" w:color="auto" w:fill="FFFFFF"/>
          <w:lang w:eastAsia="zh-CN"/>
        </w:rPr>
        <w:t>我市招商引资方面的工作</w:t>
      </w:r>
      <w:r>
        <w:rPr>
          <w:rFonts w:hint="eastAsia" w:ascii="仿宋" w:hAnsi="仿宋" w:eastAsia="仿宋" w:cs="仿宋"/>
          <w:color w:val="000000"/>
          <w:kern w:val="0"/>
          <w:sz w:val="32"/>
          <w:szCs w:val="32"/>
          <w:shd w:val="clear" w:color="auto" w:fill="FFFFFF"/>
          <w:lang w:val="en-US" w:eastAsia="zh-CN"/>
        </w:rPr>
        <w:t>方面的信息</w:t>
      </w:r>
      <w:r>
        <w:rPr>
          <w:rFonts w:hint="eastAsia" w:ascii="仿宋" w:hAnsi="仿宋" w:eastAsia="仿宋" w:cs="仿宋"/>
          <w:color w:val="000000"/>
          <w:kern w:val="0"/>
          <w:sz w:val="32"/>
          <w:szCs w:val="32"/>
          <w:shd w:val="clear" w:color="auto" w:fill="FFFFFF"/>
          <w:lang w:eastAsia="zh-CN"/>
        </w:rPr>
        <w:t>。二是加强工作人员的业务培训，积极参加市里举办的政务公开业务培训，积极学习省、市及其他县市单位的好经验和先进技术，鼓励工作人员自主学习政府信息公开内容，提升工作水平。</w:t>
      </w: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六、其他需要报告的事项</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文星楷体" w:hAnsi="文星楷体" w:eastAsia="文星楷体" w:cs="文星楷体"/>
          <w:color w:val="000000"/>
          <w:kern w:val="0"/>
          <w:sz w:val="32"/>
          <w:szCs w:val="32"/>
          <w:shd w:val="clear" w:color="auto" w:fill="FFFFFF"/>
        </w:rPr>
        <w:t>（一）</w:t>
      </w:r>
      <w:r>
        <w:rPr>
          <w:rFonts w:hint="eastAsia" w:ascii="楷体" w:hAnsi="楷体" w:eastAsia="楷体" w:cs="楷体"/>
          <w:color w:val="000000"/>
          <w:kern w:val="0"/>
          <w:sz w:val="32"/>
          <w:szCs w:val="32"/>
          <w:shd w:val="clear" w:color="auto" w:fill="FFFFFF"/>
          <w:lang w:val="en-US" w:eastAsia="zh-CN" w:bidi="ar-SA"/>
        </w:rPr>
        <w:t>收取信息处理费情况。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中心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eastAsia="仿宋_GB2312" w:hAnsiTheme="minorHAnsi" w:cstheme="minorBidi"/>
          <w:kern w:val="2"/>
          <w:sz w:val="32"/>
          <w:szCs w:val="32"/>
          <w:lang w:val="en-US" w:eastAsia="zh-CN" w:bidi="ar-SA"/>
        </w:rPr>
      </w:pPr>
      <w:r>
        <w:rPr>
          <w:rFonts w:hint="eastAsia" w:ascii="楷体" w:hAnsi="楷体" w:eastAsia="楷体" w:cs="楷体"/>
          <w:color w:val="000000"/>
          <w:kern w:val="0"/>
          <w:sz w:val="32"/>
          <w:szCs w:val="32"/>
          <w:shd w:val="clear" w:color="auto" w:fill="FFFFFF"/>
          <w:lang w:val="en-US" w:eastAsia="zh-CN" w:bidi="ar-SA"/>
        </w:rPr>
        <w:t>（二）</w:t>
      </w:r>
      <w:r>
        <w:rPr>
          <w:rFonts w:hint="eastAsia" w:ascii="楷体_GB2312" w:hAnsi="楷体_GB2312" w:eastAsia="楷体_GB2312" w:cs="楷体_GB2312"/>
          <w:kern w:val="0"/>
          <w:sz w:val="32"/>
          <w:szCs w:val="32"/>
          <w:lang w:val="en-US" w:eastAsia="zh-CN" w:bidi="ar"/>
        </w:rPr>
        <w:t>落实安丘市2021年度政务公开工作要点情况</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按照《2021年</w:t>
      </w:r>
      <w:r>
        <w:rPr>
          <w:rFonts w:hint="eastAsia" w:ascii="仿宋_GB2312" w:eastAsia="仿宋_GB2312" w:cstheme="minorBidi"/>
          <w:kern w:val="2"/>
          <w:sz w:val="32"/>
          <w:szCs w:val="32"/>
          <w:lang w:val="en-US" w:eastAsia="zh-CN" w:bidi="ar-SA"/>
        </w:rPr>
        <w:t>安丘</w:t>
      </w:r>
      <w:r>
        <w:rPr>
          <w:rFonts w:hint="eastAsia" w:ascii="仿宋_GB2312" w:eastAsia="仿宋_GB2312" w:hAnsiTheme="minorHAnsi" w:cstheme="minorBidi"/>
          <w:kern w:val="2"/>
          <w:sz w:val="32"/>
          <w:szCs w:val="32"/>
          <w:lang w:val="en-US" w:eastAsia="zh-CN" w:bidi="ar-SA"/>
        </w:rPr>
        <w:t>市政务公开重点工作任务分工表》任务分工，迅速对我中心2021年政务公开工作</w:t>
      </w:r>
      <w:r>
        <w:rPr>
          <w:rFonts w:hint="eastAsia" w:ascii="仿宋_GB2312" w:eastAsia="仿宋_GB2312" w:cstheme="minorBidi"/>
          <w:kern w:val="2"/>
          <w:sz w:val="32"/>
          <w:szCs w:val="32"/>
          <w:lang w:val="en-US" w:eastAsia="zh-CN" w:bidi="ar-SA"/>
        </w:rPr>
        <w:t>要点</w:t>
      </w:r>
      <w:r>
        <w:rPr>
          <w:rFonts w:hint="eastAsia" w:ascii="仿宋_GB2312" w:eastAsia="仿宋_GB2312" w:hAnsiTheme="minorHAnsi" w:cstheme="minorBidi"/>
          <w:kern w:val="2"/>
          <w:sz w:val="32"/>
          <w:szCs w:val="32"/>
          <w:lang w:val="en-US" w:eastAsia="zh-CN" w:bidi="ar-SA"/>
        </w:rPr>
        <w:t>进行分工，形成责任分工表，将责任具体到科室，</w:t>
      </w:r>
      <w:r>
        <w:rPr>
          <w:rFonts w:hint="eastAsia" w:ascii="仿宋_GB2312" w:eastAsia="仿宋_GB2312" w:cstheme="minorBidi"/>
          <w:kern w:val="2"/>
          <w:sz w:val="32"/>
          <w:szCs w:val="32"/>
          <w:lang w:val="en-US" w:eastAsia="zh-CN" w:bidi="ar-SA"/>
        </w:rPr>
        <w:t>办公室</w:t>
      </w:r>
      <w:r>
        <w:rPr>
          <w:rFonts w:hint="eastAsia" w:ascii="仿宋_GB2312" w:eastAsia="仿宋_GB2312" w:hAnsiTheme="minorHAnsi" w:cstheme="minorBidi"/>
          <w:kern w:val="2"/>
          <w:sz w:val="32"/>
          <w:szCs w:val="32"/>
          <w:lang w:val="en-US" w:eastAsia="zh-CN" w:bidi="ar-SA"/>
        </w:rPr>
        <w:t>负责中心政务公开标准化规范化建设，投资促进科负责政策发布解读与回应、重点领域信息公开，确立了主要领导总负责、分管领导具体负责，</w:t>
      </w:r>
      <w:r>
        <w:rPr>
          <w:rFonts w:hint="eastAsia" w:ascii="仿宋_GB2312" w:eastAsia="仿宋_GB2312" w:cstheme="minorBidi"/>
          <w:kern w:val="2"/>
          <w:sz w:val="32"/>
          <w:szCs w:val="32"/>
          <w:lang w:val="en-US" w:eastAsia="zh-CN" w:bidi="ar-SA"/>
        </w:rPr>
        <w:t>办公室</w:t>
      </w:r>
      <w:r>
        <w:rPr>
          <w:rFonts w:hint="eastAsia" w:ascii="仿宋_GB2312" w:eastAsia="仿宋_GB2312" w:hAnsiTheme="minorHAnsi" w:cstheme="minorBidi"/>
          <w:kern w:val="2"/>
          <w:sz w:val="32"/>
          <w:szCs w:val="32"/>
          <w:lang w:val="en-US" w:eastAsia="zh-CN" w:bidi="ar-SA"/>
        </w:rPr>
        <w:t>和各业务科室配合落实</w:t>
      </w:r>
      <w:r>
        <w:rPr>
          <w:rFonts w:hint="eastAsia" w:ascii="仿宋_GB2312" w:eastAsia="仿宋_GB2312" w:cstheme="minorBidi"/>
          <w:kern w:val="2"/>
          <w:sz w:val="32"/>
          <w:szCs w:val="32"/>
          <w:lang w:val="en-US" w:eastAsia="zh-CN" w:bidi="ar-SA"/>
        </w:rPr>
        <w:t>的</w:t>
      </w:r>
      <w:r>
        <w:rPr>
          <w:rFonts w:hint="eastAsia" w:ascii="仿宋_GB2312" w:eastAsia="仿宋_GB2312" w:hAnsiTheme="minorHAnsi" w:cstheme="minorBidi"/>
          <w:kern w:val="2"/>
          <w:sz w:val="32"/>
          <w:szCs w:val="32"/>
          <w:lang w:val="en-US" w:eastAsia="zh-CN" w:bidi="ar-SA"/>
        </w:rPr>
        <w:t>协同推进机制。</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（三）人大代表建议和政协委员提案办理结果公开情况。</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年，我</w:t>
      </w:r>
      <w:r>
        <w:rPr>
          <w:rFonts w:hint="eastAsia" w:ascii="仿宋_GB2312" w:hAnsi="仿宋_GB2312" w:eastAsia="仿宋_GB2312" w:cs="仿宋_GB2312"/>
          <w:color w:val="000000"/>
          <w:kern w:val="0"/>
          <w:sz w:val="32"/>
          <w:szCs w:val="32"/>
          <w:lang w:eastAsia="zh-CN"/>
        </w:rPr>
        <w:t>中心未收到</w:t>
      </w:r>
      <w:r>
        <w:rPr>
          <w:rFonts w:hint="eastAsia" w:ascii="仿宋_GB2312" w:hAnsi="仿宋_GB2312" w:eastAsia="仿宋_GB2312" w:cs="仿宋_GB2312"/>
          <w:color w:val="000000"/>
          <w:kern w:val="0"/>
          <w:sz w:val="32"/>
          <w:szCs w:val="32"/>
        </w:rPr>
        <w:t>人大代表建议和政协委员提案</w:t>
      </w:r>
      <w:r>
        <w:rPr>
          <w:rFonts w:hint="eastAsia" w:ascii="仿宋_GB2312" w:hAnsi="仿宋_GB2312" w:eastAsia="仿宋_GB2312" w:cs="仿宋_GB2312"/>
          <w:color w:val="000000"/>
          <w:kern w:val="0"/>
          <w:sz w:val="32"/>
          <w:szCs w:val="32"/>
          <w:lang w:eastAsia="zh-CN"/>
        </w:rPr>
        <w:t>，不需要办理。与</w:t>
      </w:r>
      <w:r>
        <w:rPr>
          <w:rFonts w:hint="eastAsia" w:ascii="仿宋_GB2312" w:hAnsi="仿宋_GB2312" w:eastAsia="仿宋_GB2312" w:cs="仿宋_GB2312"/>
          <w:color w:val="000000"/>
          <w:kern w:val="0"/>
          <w:sz w:val="32"/>
          <w:szCs w:val="32"/>
          <w:lang w:val="en-US" w:eastAsia="zh-CN"/>
        </w:rPr>
        <w:t>2020年一样。</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（四）安丘市投资合作促进中心2021年度政务公开工作创新情况</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安丘市投资合作促进</w:t>
      </w:r>
      <w:r>
        <w:rPr>
          <w:rFonts w:ascii="仿宋_GB2312" w:hAnsi="宋体" w:eastAsia="仿宋_GB2312" w:cs="仿宋_GB2312"/>
          <w:i w:val="0"/>
          <w:iCs w:val="0"/>
          <w:caps w:val="0"/>
          <w:color w:val="333333"/>
          <w:spacing w:val="0"/>
          <w:sz w:val="32"/>
          <w:szCs w:val="32"/>
          <w:shd w:val="clear" w:fill="FFFFFF"/>
        </w:rPr>
        <w:t>中心</w:t>
      </w:r>
      <w:r>
        <w:rPr>
          <w:rFonts w:hint="eastAsia" w:ascii="仿宋_GB2312" w:hAnsi="宋体" w:eastAsia="仿宋_GB2312" w:cs="仿宋_GB2312"/>
          <w:i w:val="0"/>
          <w:iCs w:val="0"/>
          <w:caps w:val="0"/>
          <w:color w:val="333333"/>
          <w:spacing w:val="0"/>
          <w:sz w:val="32"/>
          <w:szCs w:val="32"/>
          <w:shd w:val="clear" w:fill="FFFFFF"/>
        </w:rPr>
        <w:t>2021年根据工作实际情况完善了政务公开相关规章制度，不断完善政务公开、监督和评议制度，将政务工作日常化、规范化、制度化，推进政务公开工作开展。</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（五）安丘市投资合作促进中心2021年度政府信息公开工作年度报告数据统计需要说明的事项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本年度报告中所列各项数据的统计期限自2021年1月1日至2021年12月31日。本年度报告的电子版可在安丘市人民政府门户网站（http://www.anqiu.gov.cn/）下载。如对本报告有任何疑问，请与</w:t>
      </w:r>
      <w:r>
        <w:rPr>
          <w:rFonts w:hint="eastAsia" w:ascii="仿宋_GB2312" w:hAnsi="仿宋_GB2312" w:eastAsia="仿宋_GB2312" w:cs="仿宋_GB2312"/>
          <w:color w:val="000000"/>
          <w:kern w:val="0"/>
          <w:sz w:val="32"/>
          <w:szCs w:val="32"/>
          <w:shd w:val="clear" w:color="auto" w:fill="FFFFFF"/>
        </w:rPr>
        <w:t>安丘市投资合作促进中心办公室</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color w:val="000000"/>
          <w:kern w:val="0"/>
          <w:sz w:val="32"/>
          <w:szCs w:val="32"/>
          <w:shd w:val="clear" w:color="auto" w:fill="FFFFFF"/>
          <w:lang w:eastAsia="zh-CN"/>
        </w:rPr>
        <w:t>山东省安丘市青云大街</w:t>
      </w:r>
      <w:r>
        <w:rPr>
          <w:rFonts w:hint="eastAsia" w:ascii="仿宋_GB2312" w:hAnsi="仿宋_GB2312" w:eastAsia="仿宋_GB2312" w:cs="仿宋_GB2312"/>
          <w:color w:val="000000"/>
          <w:kern w:val="0"/>
          <w:sz w:val="32"/>
          <w:szCs w:val="32"/>
          <w:shd w:val="clear" w:color="auto" w:fill="FFFFFF"/>
          <w:lang w:val="en-US" w:eastAsia="zh-CN"/>
        </w:rPr>
        <w:t>623号安丘市级机关综合办公大楼146房间</w:t>
      </w:r>
      <w:r>
        <w:rPr>
          <w:rFonts w:hint="eastAsia" w:ascii="仿宋_GB2312" w:hAnsi="仿宋_GB2312" w:eastAsia="仿宋_GB2312" w:cs="仿宋_GB2312"/>
          <w:sz w:val="32"/>
          <w:szCs w:val="32"/>
          <w:lang w:val="en-US" w:eastAsia="zh-CN"/>
        </w:rPr>
        <w:t>，邮编：262100，电话：0536-</w:t>
      </w:r>
      <w:r>
        <w:rPr>
          <w:rFonts w:hint="eastAsia" w:ascii="仿宋_GB2312" w:hAnsi="仿宋_GB2312" w:eastAsia="仿宋_GB2312" w:cs="仿宋_GB2312"/>
          <w:color w:val="000000"/>
          <w:kern w:val="0"/>
          <w:sz w:val="32"/>
          <w:szCs w:val="32"/>
          <w:shd w:val="clear" w:color="auto" w:fill="FFFFFF"/>
        </w:rPr>
        <w:t>4215816</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000000"/>
          <w:kern w:val="0"/>
          <w:sz w:val="32"/>
          <w:szCs w:val="32"/>
          <w:shd w:val="clear" w:color="auto" w:fill="FFFFFF"/>
          <w:lang w:val="en-US" w:eastAsia="zh-CN"/>
        </w:rPr>
        <w:t>aqszsj</w:t>
      </w:r>
      <w:r>
        <w:rPr>
          <w:rFonts w:hint="eastAsia" w:ascii="仿宋_GB2312" w:hAnsi="仿宋_GB2312" w:eastAsia="仿宋_GB2312" w:cs="仿宋_GB2312"/>
          <w:color w:val="auto"/>
          <w:sz w:val="32"/>
          <w:szCs w:val="32"/>
          <w:u w:val="none"/>
          <w:lang w:val="en-US" w:eastAsia="zh-CN"/>
        </w:rPr>
        <w:t>@wf.shandong.cn）。</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安丘市投资合作促进中心</w:t>
      </w:r>
      <w:r>
        <w:rPr>
          <w:rFonts w:hint="eastAsia" w:ascii="楷体_GB2312" w:hAnsi="楷体_GB2312" w:eastAsia="楷体_GB2312" w:cs="楷体_GB2312"/>
          <w:sz w:val="32"/>
          <w:szCs w:val="32"/>
          <w:lang w:val="en-US" w:eastAsia="zh-CN"/>
        </w:rPr>
        <w:t>2021年度没有其他需要报告的事项。</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kern w:val="0"/>
          <w:sz w:val="24"/>
          <w:szCs w:val="24"/>
          <w:shd w:val="clear" w:color="auto" w:fill="FFFFFF"/>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安丘市投资合作促进中心</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keepNext w:val="0"/>
        <w:keepLines w:val="0"/>
        <w:pageBreakBefore w:val="0"/>
        <w:widowControl w:val="0"/>
        <w:shd w:val="clear" w:color="auto" w:fill="FFFFFF"/>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安丘市投资合作促进中心</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年1月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02"/>
    <w:rsid w:val="00323377"/>
    <w:rsid w:val="004938F0"/>
    <w:rsid w:val="006C2899"/>
    <w:rsid w:val="00702DAA"/>
    <w:rsid w:val="00725752"/>
    <w:rsid w:val="008C1765"/>
    <w:rsid w:val="008E7C3C"/>
    <w:rsid w:val="00942334"/>
    <w:rsid w:val="009E2702"/>
    <w:rsid w:val="00A86283"/>
    <w:rsid w:val="00B77D42"/>
    <w:rsid w:val="020A2568"/>
    <w:rsid w:val="033C36D5"/>
    <w:rsid w:val="03451EB2"/>
    <w:rsid w:val="03FB03BA"/>
    <w:rsid w:val="046C750A"/>
    <w:rsid w:val="058622BF"/>
    <w:rsid w:val="08144141"/>
    <w:rsid w:val="08FF6B9F"/>
    <w:rsid w:val="092F2631"/>
    <w:rsid w:val="0A013056"/>
    <w:rsid w:val="0A8C0226"/>
    <w:rsid w:val="0C371EAB"/>
    <w:rsid w:val="0CE34A8F"/>
    <w:rsid w:val="102E31C4"/>
    <w:rsid w:val="104C41DB"/>
    <w:rsid w:val="12E070F9"/>
    <w:rsid w:val="14155887"/>
    <w:rsid w:val="14812B5E"/>
    <w:rsid w:val="151A5400"/>
    <w:rsid w:val="153C129A"/>
    <w:rsid w:val="15477903"/>
    <w:rsid w:val="183E0ACE"/>
    <w:rsid w:val="1980089F"/>
    <w:rsid w:val="19FA7CBC"/>
    <w:rsid w:val="1AAF7AC4"/>
    <w:rsid w:val="1B373F76"/>
    <w:rsid w:val="1CEA03B3"/>
    <w:rsid w:val="1D437577"/>
    <w:rsid w:val="1E3C7E80"/>
    <w:rsid w:val="1F0143C9"/>
    <w:rsid w:val="1F7857E3"/>
    <w:rsid w:val="20B47097"/>
    <w:rsid w:val="21DC42A9"/>
    <w:rsid w:val="226045C6"/>
    <w:rsid w:val="23BF0880"/>
    <w:rsid w:val="23FC0F43"/>
    <w:rsid w:val="259F4478"/>
    <w:rsid w:val="25A466AC"/>
    <w:rsid w:val="26577008"/>
    <w:rsid w:val="26F63A40"/>
    <w:rsid w:val="289E62E1"/>
    <w:rsid w:val="2A094ECD"/>
    <w:rsid w:val="2A842484"/>
    <w:rsid w:val="2ACA028E"/>
    <w:rsid w:val="2AFE3E58"/>
    <w:rsid w:val="2B627697"/>
    <w:rsid w:val="2BD43819"/>
    <w:rsid w:val="2CA36B2F"/>
    <w:rsid w:val="2E817D3D"/>
    <w:rsid w:val="2F4E28C2"/>
    <w:rsid w:val="2F554BF4"/>
    <w:rsid w:val="301A36BC"/>
    <w:rsid w:val="30E8538C"/>
    <w:rsid w:val="32447411"/>
    <w:rsid w:val="32A7533F"/>
    <w:rsid w:val="32E274DB"/>
    <w:rsid w:val="34347D84"/>
    <w:rsid w:val="346022E1"/>
    <w:rsid w:val="34A35EE7"/>
    <w:rsid w:val="34D678A5"/>
    <w:rsid w:val="37733277"/>
    <w:rsid w:val="39D600CD"/>
    <w:rsid w:val="3A1A6AE5"/>
    <w:rsid w:val="3A4F2E7B"/>
    <w:rsid w:val="3A80311E"/>
    <w:rsid w:val="3AB032F8"/>
    <w:rsid w:val="3AB55733"/>
    <w:rsid w:val="3BC37E62"/>
    <w:rsid w:val="3BF84B53"/>
    <w:rsid w:val="3E502B82"/>
    <w:rsid w:val="3E6F10CB"/>
    <w:rsid w:val="3ECC596E"/>
    <w:rsid w:val="3F312B85"/>
    <w:rsid w:val="40D35C02"/>
    <w:rsid w:val="414D1B62"/>
    <w:rsid w:val="43503FB2"/>
    <w:rsid w:val="44B55D5A"/>
    <w:rsid w:val="44D77AAC"/>
    <w:rsid w:val="452F1464"/>
    <w:rsid w:val="46D83FB0"/>
    <w:rsid w:val="49034F6A"/>
    <w:rsid w:val="49846E82"/>
    <w:rsid w:val="4AE41175"/>
    <w:rsid w:val="4AFF7B75"/>
    <w:rsid w:val="4B373730"/>
    <w:rsid w:val="4F92093B"/>
    <w:rsid w:val="4FA7106A"/>
    <w:rsid w:val="54322C6E"/>
    <w:rsid w:val="54436E59"/>
    <w:rsid w:val="548F708F"/>
    <w:rsid w:val="54CA318A"/>
    <w:rsid w:val="55CA1AF0"/>
    <w:rsid w:val="55FA4138"/>
    <w:rsid w:val="579B7D51"/>
    <w:rsid w:val="5837687D"/>
    <w:rsid w:val="59E370C5"/>
    <w:rsid w:val="5D6F5686"/>
    <w:rsid w:val="5D707FD3"/>
    <w:rsid w:val="5DA62702"/>
    <w:rsid w:val="5FC86262"/>
    <w:rsid w:val="5FC90496"/>
    <w:rsid w:val="615B48C4"/>
    <w:rsid w:val="61E9014B"/>
    <w:rsid w:val="61F03383"/>
    <w:rsid w:val="63CD0C52"/>
    <w:rsid w:val="65025802"/>
    <w:rsid w:val="65295CAB"/>
    <w:rsid w:val="65E26704"/>
    <w:rsid w:val="664467A1"/>
    <w:rsid w:val="67DF2D0A"/>
    <w:rsid w:val="67EB419D"/>
    <w:rsid w:val="6925695C"/>
    <w:rsid w:val="6D344932"/>
    <w:rsid w:val="6D8450E6"/>
    <w:rsid w:val="6F1277AF"/>
    <w:rsid w:val="6F506B8D"/>
    <w:rsid w:val="71A25937"/>
    <w:rsid w:val="71A52B5D"/>
    <w:rsid w:val="723B1C94"/>
    <w:rsid w:val="73584C2C"/>
    <w:rsid w:val="738F5872"/>
    <w:rsid w:val="73C51294"/>
    <w:rsid w:val="73DB4659"/>
    <w:rsid w:val="73FA14F5"/>
    <w:rsid w:val="747461C0"/>
    <w:rsid w:val="753F3D21"/>
    <w:rsid w:val="75DE61F1"/>
    <w:rsid w:val="76675794"/>
    <w:rsid w:val="776C6C6C"/>
    <w:rsid w:val="78D126C0"/>
    <w:rsid w:val="78FB12B4"/>
    <w:rsid w:val="79F72EE4"/>
    <w:rsid w:val="7CE0713F"/>
    <w:rsid w:val="7DC876BB"/>
    <w:rsid w:val="7ECA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2 Char"/>
    <w:basedOn w:val="10"/>
    <w:link w:val="3"/>
    <w:qFormat/>
    <w:uiPriority w:val="9"/>
    <w:rPr>
      <w:rFonts w:ascii="宋体" w:hAnsi="宋体" w:eastAsia="宋体" w:cs="宋体"/>
      <w:b/>
      <w:bCs/>
      <w:kern w:val="0"/>
      <w:sz w:val="36"/>
      <w:szCs w:val="36"/>
    </w:r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960</Words>
  <Characters>5476</Characters>
  <Lines>45</Lines>
  <Paragraphs>12</Paragraphs>
  <TotalTime>21</TotalTime>
  <ScaleCrop>false</ScaleCrop>
  <LinksUpToDate>false</LinksUpToDate>
  <CharactersWithSpaces>6424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2021-01-21T08:06:00Z</dcterms:created>
  <dc:creator>Windows 用户</dc:creator>
  <cp:lastModifiedBy>郭钦荣</cp:lastModifiedBy>
  <dcterms:modified xsi:type="dcterms:W3CDTF">2022-03-03T09:09:12Z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B561A084CAAB41F785E1B6631115B8ED</vt:lpwstr>
  </property>
</Properties>
</file>