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1"/>
        <w:rPr>
          <w:rFonts w:hint="eastAsia" w:ascii="文星标宋" w:hAnsi="文星标宋" w:eastAsia="文星标宋" w:cs="文星标宋"/>
          <w:b w:val="0"/>
          <w:bCs w:val="0"/>
          <w:color w:val="000000"/>
          <w:kern w:val="0"/>
          <w:sz w:val="30"/>
          <w:szCs w:val="30"/>
        </w:rPr>
      </w:pPr>
      <w:r>
        <w:rPr>
          <w:rFonts w:hint="eastAsia" w:ascii="文星标宋" w:hAnsi="文星标宋" w:eastAsia="文星标宋" w:cs="文星标宋"/>
          <w:b w:val="0"/>
          <w:bCs w:val="0"/>
          <w:color w:val="000000"/>
          <w:kern w:val="0"/>
          <w:sz w:val="30"/>
          <w:szCs w:val="30"/>
        </w:rPr>
        <w:t>安丘市投资合作促进中心2020年政府信息公开工作年度报告</w:t>
      </w:r>
    </w:p>
    <w:p>
      <w:pPr>
        <w:widowControl/>
        <w:wordWrap w:val="0"/>
        <w:spacing w:line="480" w:lineRule="atLeast"/>
        <w:jc w:val="left"/>
        <w:rPr>
          <w:rFonts w:hint="eastAsia" w:ascii="仿宋" w:hAnsi="仿宋" w:eastAsia="仿宋" w:cs="仿宋"/>
          <w:kern w:val="0"/>
          <w:sz w:val="24"/>
          <w:szCs w:val="24"/>
        </w:rPr>
      </w:pPr>
    </w:p>
    <w:p>
      <w:pPr>
        <w:widowControl/>
        <w:wordWrap w:val="0"/>
        <w:spacing w:line="48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根据《中华人民共和国政府信息公开条例》《</w:t>
      </w:r>
      <w:r>
        <w:rPr>
          <w:rFonts w:hint="eastAsia" w:ascii="仿宋" w:hAnsi="仿宋" w:eastAsia="仿宋" w:cs="仿宋"/>
          <w:color w:val="000000"/>
          <w:kern w:val="0"/>
          <w:sz w:val="24"/>
          <w:szCs w:val="24"/>
          <w:shd w:val="clear" w:color="auto" w:fill="FFFFFF"/>
          <w:lang w:eastAsia="zh-CN"/>
        </w:rPr>
        <w:t>安丘</w:t>
      </w:r>
      <w:r>
        <w:rPr>
          <w:rFonts w:hint="eastAsia" w:ascii="仿宋" w:hAnsi="仿宋" w:eastAsia="仿宋" w:cs="仿宋"/>
          <w:color w:val="000000"/>
          <w:kern w:val="0"/>
          <w:sz w:val="24"/>
          <w:szCs w:val="24"/>
          <w:shd w:val="clear" w:color="auto" w:fill="FFFFFF"/>
        </w:rPr>
        <w:t>市人民政府办公室关于做好2020年政府信息公开工作年度报告编制发布和报送工作的通知》要求，结合我中心实际，编制并向社会公布安丘市投资合作促进中心2020年政府信息公开工作年度报告。本年度报告中所列数据的统计期限自2020年1月1日起，至2020年12月31日止。如对本报告有疑问，请联系安丘市投资合作促进中心办公室，联系电话:0536-4215816。</w:t>
      </w:r>
    </w:p>
    <w:p>
      <w:pPr>
        <w:widowControl/>
        <w:shd w:val="clear" w:color="auto" w:fill="FFFFFF"/>
        <w:wordWrap w:val="0"/>
        <w:spacing w:line="480" w:lineRule="atLeas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w:t>
      </w:r>
      <w:r>
        <w:rPr>
          <w:rFonts w:hint="eastAsia" w:ascii="黑体" w:hAnsi="黑体" w:eastAsia="黑体" w:cs="黑体"/>
          <w:color w:val="000000"/>
          <w:kern w:val="0"/>
          <w:sz w:val="24"/>
          <w:szCs w:val="24"/>
          <w:shd w:val="clear" w:color="auto" w:fill="FFFFFF"/>
        </w:rPr>
        <w:t>一、总体情况</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2020年，市投资合作促进中心认真贯彻落实党中央、国务院和省、市关于政府信息公开工作的部署要求，进一步调整优化公开目录，深入拓展公开渠道，持续丰富公开形式，及时回应社会关切，不断提升政府信息公开工作力度和实效，政府信息公开水平实现新的突破。</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（一）主动公开情况。</w:t>
      </w:r>
    </w:p>
    <w:p>
      <w:pPr>
        <w:widowControl/>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截止2020年12月31日，主动公开政府信息22条。其中，通过政府门户网站主动公开政府信息22条。其中,概况信息6条，财政信息2条，人大建议政协提案2条，业务信息及其他类信息12条。</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1.及时公开机构概况。根据《政府信息公开条例》第二十条第（二）款要求，在机构改革完成后，第一时间更新中心职能、机构设置、办公地址、办公时间、联系方式、负责人姓名，并在市政府信息公开专栏公布。</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sz w:val="24"/>
          <w:szCs w:val="24"/>
        </w:rPr>
        <w:drawing>
          <wp:inline distT="0" distB="0" distL="114300" distR="114300">
            <wp:extent cx="5267960" cy="18275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1827530"/>
                    </a:xfrm>
                    <a:prstGeom prst="rect">
                      <a:avLst/>
                    </a:prstGeom>
                    <a:noFill/>
                    <a:ln>
                      <a:noFill/>
                    </a:ln>
                  </pic:spPr>
                </pic:pic>
              </a:graphicData>
            </a:graphic>
          </wp:inline>
        </w:drawing>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2.及时公开财政领域信息。根据《政府信息公开条例》第二十条第（七）款要求，结合中心实际，按年公开部门预决算，不断扩大公开范围、细化公开内容，让公众看得懂。</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sz w:val="24"/>
          <w:szCs w:val="24"/>
        </w:rPr>
        <w:drawing>
          <wp:inline distT="0" distB="0" distL="114300" distR="114300">
            <wp:extent cx="5269865" cy="1811655"/>
            <wp:effectExtent l="0" t="0" r="698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1811655"/>
                    </a:xfrm>
                    <a:prstGeom prst="rect">
                      <a:avLst/>
                    </a:prstGeom>
                    <a:noFill/>
                    <a:ln>
                      <a:noFill/>
                    </a:ln>
                  </pic:spPr>
                </pic:pic>
              </a:graphicData>
            </a:graphic>
          </wp:inline>
        </w:drawing>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 </w:t>
      </w:r>
    </w:p>
    <w:p>
      <w:pPr>
        <w:widowControl/>
        <w:numPr>
          <w:ilvl w:val="0"/>
          <w:numId w:val="1"/>
        </w:numPr>
        <w:shd w:val="clear" w:color="auto" w:fill="FFFFFF"/>
        <w:wordWrap w:val="0"/>
        <w:spacing w:line="480" w:lineRule="atLeast"/>
        <w:ind w:left="431" w:leftChars="0" w:firstLine="0" w:firstLineChars="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加强政策解读。按照“谁起草、谁解读”的原则，同步制定发布政策解读文件1件。</w:t>
      </w:r>
    </w:p>
    <w:p>
      <w:pPr>
        <w:widowControl/>
        <w:numPr>
          <w:ilvl w:val="0"/>
          <w:numId w:val="0"/>
        </w:numPr>
        <w:shd w:val="clear" w:color="auto" w:fill="FFFFFF"/>
        <w:wordWrap w:val="0"/>
        <w:spacing w:line="480" w:lineRule="atLeast"/>
        <w:ind w:left="431" w:leftChars="0"/>
        <w:rPr>
          <w:rFonts w:hint="eastAsia" w:ascii="仿宋" w:hAnsi="仿宋" w:eastAsia="仿宋" w:cs="仿宋"/>
          <w:color w:val="000000"/>
          <w:kern w:val="0"/>
          <w:sz w:val="24"/>
          <w:szCs w:val="24"/>
          <w:shd w:val="clear" w:color="auto" w:fill="FFFFFF"/>
        </w:rPr>
      </w:pPr>
      <w:r>
        <w:rPr>
          <w:rFonts w:hint="eastAsia" w:ascii="仿宋" w:hAnsi="仿宋" w:eastAsia="仿宋" w:cs="仿宋"/>
          <w:sz w:val="24"/>
          <w:szCs w:val="24"/>
        </w:rPr>
        <w:drawing>
          <wp:inline distT="0" distB="0" distL="114300" distR="114300">
            <wp:extent cx="5264785" cy="1669415"/>
            <wp:effectExtent l="0" t="0" r="1206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4785" cy="1669415"/>
                    </a:xfrm>
                    <a:prstGeom prst="rect">
                      <a:avLst/>
                    </a:prstGeom>
                    <a:noFill/>
                    <a:ln>
                      <a:noFill/>
                    </a:ln>
                  </pic:spPr>
                </pic:pic>
              </a:graphicData>
            </a:graphic>
          </wp:inline>
        </w:drawing>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 </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（二）依申请公开情况。</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1.依申请公开情况。市</w:t>
      </w:r>
      <w:r>
        <w:rPr>
          <w:rFonts w:hint="eastAsia" w:ascii="仿宋" w:hAnsi="仿宋" w:eastAsia="仿宋" w:cs="仿宋"/>
          <w:color w:val="000000"/>
          <w:kern w:val="0"/>
          <w:sz w:val="24"/>
          <w:szCs w:val="24"/>
          <w:shd w:val="clear" w:color="auto" w:fill="FFFFFF"/>
          <w:lang w:eastAsia="zh-CN"/>
        </w:rPr>
        <w:t>投资合作促进中心</w:t>
      </w:r>
      <w:r>
        <w:rPr>
          <w:rFonts w:hint="eastAsia" w:ascii="仿宋" w:hAnsi="仿宋" w:eastAsia="仿宋" w:cs="仿宋"/>
          <w:color w:val="000000"/>
          <w:kern w:val="0"/>
          <w:sz w:val="24"/>
          <w:szCs w:val="24"/>
          <w:shd w:val="clear" w:color="auto" w:fill="FFFFFF"/>
        </w:rPr>
        <w:t>20</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年共收到政府信息公开申请1件，内容涉及</w:t>
      </w:r>
      <w:r>
        <w:rPr>
          <w:rFonts w:hint="eastAsia" w:ascii="仿宋" w:hAnsi="仿宋" w:eastAsia="仿宋" w:cs="仿宋"/>
          <w:color w:val="000000"/>
          <w:kern w:val="0"/>
          <w:sz w:val="24"/>
          <w:szCs w:val="24"/>
          <w:shd w:val="clear" w:color="auto" w:fill="FFFFFF"/>
          <w:lang w:eastAsia="zh-CN"/>
        </w:rPr>
        <w:t>信息公开</w:t>
      </w:r>
      <w:r>
        <w:rPr>
          <w:rFonts w:hint="eastAsia" w:ascii="仿宋" w:hAnsi="仿宋" w:eastAsia="仿宋" w:cs="仿宋"/>
          <w:color w:val="000000"/>
          <w:kern w:val="0"/>
          <w:sz w:val="24"/>
          <w:szCs w:val="24"/>
          <w:shd w:val="clear" w:color="auto" w:fill="FFFFFF"/>
        </w:rPr>
        <w:t>方面。</w:t>
      </w:r>
    </w:p>
    <w:p>
      <w:pPr>
        <w:widowControl/>
        <w:shd w:val="clear" w:color="auto" w:fill="FFFFFF"/>
        <w:wordWrap w:val="0"/>
        <w:spacing w:line="480" w:lineRule="atLeast"/>
        <w:ind w:firstLine="48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2.申请处理情况。共答复政府信息公开申请1件，按时办结1件，按时办结率100%。</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3.申请行政复议、提起行政诉讼情况。全年未发生因政府信息公开被行政复议、提起行政诉讼情况。</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（三）政府信息管理情况。</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一是完善信息公开管理流程。建立政府信息公开工作全流程管理机制，设置具体经办人员、科长、法规税政科、办公室四道审核把关机制，重要信息须局分管负责人把关审签，最大限度保证公开内容经得起审查。</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二</w:t>
      </w:r>
      <w:r>
        <w:rPr>
          <w:rFonts w:hint="eastAsia" w:ascii="仿宋" w:hAnsi="仿宋" w:eastAsia="仿宋" w:cs="仿宋"/>
          <w:color w:val="000000"/>
          <w:kern w:val="0"/>
          <w:sz w:val="24"/>
          <w:szCs w:val="24"/>
          <w:shd w:val="clear" w:color="auto" w:fill="FFFFFF"/>
        </w:rPr>
        <w:t>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文星楷体" w:hAnsi="文星楷体" w:eastAsia="文星楷体" w:cs="文星楷体"/>
          <w:i w:val="0"/>
          <w:caps w:val="0"/>
          <w:color w:val="333333"/>
          <w:spacing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i w:val="0"/>
          <w:caps w:val="0"/>
          <w:color w:val="333333"/>
          <w:spacing w:val="0"/>
          <w:sz w:val="24"/>
          <w:szCs w:val="24"/>
          <w:shd w:val="clear" w:fill="FFFFFF"/>
        </w:rPr>
        <w:t>（四）平台建设情况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　　我中心主要依托市政府门户网站进行政府信息公开，信息公开内容主要包含基本目录和重点领域两大部分，基本目录主要内容包括组织机构、政策文件、工作信息、人事信息、执行公开、结果公开、其他信息等信息，重点领域包含财政审计等信息。通过加大公开工作力度，深入推进政务公开工作，20</w:t>
      </w:r>
      <w:r>
        <w:rPr>
          <w:rFonts w:hint="eastAsia" w:ascii="仿宋" w:hAnsi="仿宋" w:eastAsia="仿宋" w:cs="仿宋"/>
          <w:i w:val="0"/>
          <w:caps w:val="0"/>
          <w:color w:val="333333"/>
          <w:spacing w:val="0"/>
          <w:sz w:val="24"/>
          <w:szCs w:val="24"/>
          <w:shd w:val="clear" w:fill="FFFFFF"/>
          <w:lang w:val="en-US" w:eastAsia="zh-CN"/>
        </w:rPr>
        <w:t>20</w:t>
      </w:r>
      <w:r>
        <w:rPr>
          <w:rFonts w:hint="eastAsia" w:ascii="仿宋" w:hAnsi="仿宋" w:eastAsia="仿宋" w:cs="仿宋"/>
          <w:i w:val="0"/>
          <w:caps w:val="0"/>
          <w:color w:val="333333"/>
          <w:spacing w:val="0"/>
          <w:sz w:val="24"/>
          <w:szCs w:val="24"/>
          <w:shd w:val="clear" w:fill="FFFFFF"/>
        </w:rPr>
        <w:t>年我中心基本目录信息公开方面内容完善、覆盖全面，信息更新及时，确保了政务公开全面、及时、有效。重点领域方面，我中心及时发布</w:t>
      </w:r>
      <w:r>
        <w:rPr>
          <w:rFonts w:hint="eastAsia" w:ascii="仿宋" w:hAnsi="仿宋" w:eastAsia="仿宋" w:cs="仿宋"/>
          <w:i w:val="0"/>
          <w:caps w:val="0"/>
          <w:color w:val="333333"/>
          <w:spacing w:val="0"/>
          <w:sz w:val="24"/>
          <w:szCs w:val="24"/>
          <w:shd w:val="clear" w:fill="FFFFFF"/>
          <w:lang w:eastAsia="zh-CN"/>
        </w:rPr>
        <w:t>财政预决算</w:t>
      </w:r>
      <w:r>
        <w:rPr>
          <w:rFonts w:hint="eastAsia" w:ascii="仿宋" w:hAnsi="仿宋" w:eastAsia="仿宋" w:cs="仿宋"/>
          <w:i w:val="0"/>
          <w:caps w:val="0"/>
          <w:color w:val="333333"/>
          <w:spacing w:val="0"/>
          <w:sz w:val="24"/>
          <w:szCs w:val="24"/>
          <w:shd w:val="clear" w:fill="FFFFFF"/>
        </w:rPr>
        <w:t>相关信息，进一步提升了政府信息公开工作的透明度和全面性。</w:t>
      </w:r>
    </w:p>
    <w:p>
      <w:pPr>
        <w:widowControl/>
        <w:shd w:val="clear" w:color="auto" w:fill="FFFFFF"/>
        <w:wordWrap w:val="0"/>
        <w:spacing w:line="480" w:lineRule="atLeast"/>
        <w:ind w:firstLine="480" w:firstLineChars="200"/>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shd w:val="clear" w:color="auto" w:fill="FFFFFF"/>
        </w:rPr>
        <w:t>（</w:t>
      </w:r>
      <w:r>
        <w:rPr>
          <w:rFonts w:hint="eastAsia" w:ascii="文星楷体" w:hAnsi="文星楷体" w:eastAsia="文星楷体" w:cs="文星楷体"/>
          <w:color w:val="000000"/>
          <w:kern w:val="0"/>
          <w:sz w:val="24"/>
          <w:szCs w:val="24"/>
          <w:shd w:val="clear" w:color="auto" w:fill="FFFFFF"/>
          <w:lang w:eastAsia="zh-CN"/>
        </w:rPr>
        <w:t>五</w:t>
      </w:r>
      <w:r>
        <w:rPr>
          <w:rFonts w:hint="eastAsia" w:ascii="文星楷体" w:hAnsi="文星楷体" w:eastAsia="文星楷体" w:cs="文星楷体"/>
          <w:color w:val="000000"/>
          <w:kern w:val="0"/>
          <w:sz w:val="24"/>
          <w:szCs w:val="24"/>
          <w:shd w:val="clear" w:color="auto" w:fill="FFFFFF"/>
        </w:rPr>
        <w:t>）</w:t>
      </w:r>
      <w:r>
        <w:rPr>
          <w:rFonts w:hint="eastAsia" w:ascii="文星楷体" w:hAnsi="文星楷体" w:eastAsia="文星楷体" w:cs="文星楷体"/>
          <w:color w:val="000000"/>
          <w:kern w:val="0"/>
          <w:sz w:val="24"/>
          <w:szCs w:val="24"/>
        </w:rPr>
        <w:t>机构建设及人员配置情况。</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按照机构改革要求，结合内部科室调整情况，及时调整</w:t>
      </w:r>
      <w:r>
        <w:rPr>
          <w:rFonts w:hint="eastAsia" w:ascii="仿宋" w:hAnsi="仿宋" w:eastAsia="仿宋" w:cs="仿宋"/>
          <w:color w:val="000000"/>
          <w:kern w:val="0"/>
          <w:sz w:val="24"/>
          <w:szCs w:val="24"/>
          <w:lang w:eastAsia="zh-CN"/>
        </w:rPr>
        <w:t>中心</w:t>
      </w:r>
      <w:r>
        <w:rPr>
          <w:rFonts w:hint="eastAsia" w:ascii="仿宋" w:hAnsi="仿宋" w:eastAsia="仿宋" w:cs="仿宋"/>
          <w:color w:val="000000"/>
          <w:kern w:val="0"/>
          <w:sz w:val="24"/>
          <w:szCs w:val="24"/>
        </w:rPr>
        <w:t>政务公开领导小组，重新确定分管负责人，全面负责做好局机关政府信息公开管理工作，办公室为信息公开工作机构，并安排专人具体负责，同时，各科室也将信息公开工作作为日常工作的规定动作，适合公开发布的信息及时主动报送办公室，确保信息准确性和时效性。</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w:t>
      </w:r>
      <w:r>
        <w:rPr>
          <w:rFonts w:hint="eastAsia" w:ascii="文星楷体" w:hAnsi="文星楷体" w:eastAsia="文星楷体" w:cs="文星楷体"/>
          <w:color w:val="000000"/>
          <w:kern w:val="0"/>
          <w:sz w:val="24"/>
          <w:szCs w:val="24"/>
          <w:shd w:val="clear" w:color="auto" w:fill="FFFFFF"/>
          <w:lang w:eastAsia="zh-CN"/>
        </w:rPr>
        <w:t>六</w:t>
      </w:r>
      <w:r>
        <w:rPr>
          <w:rFonts w:hint="eastAsia" w:ascii="文星楷体" w:hAnsi="文星楷体" w:eastAsia="文星楷体" w:cs="文星楷体"/>
          <w:color w:val="000000"/>
          <w:kern w:val="0"/>
          <w:sz w:val="24"/>
          <w:szCs w:val="24"/>
          <w:shd w:val="clear" w:color="auto" w:fill="FFFFFF"/>
        </w:rPr>
        <w:t>）监督保障情况。</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1.强化考核监督。坚持提高站位，将政府信息公开工作，纳入年度绩效考核体系，激发</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机关政府信息公开工作积极性和主动性。</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2.完善工作机制。制定《20</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年政务公开工作实施方案》，明确</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机关政府信息公开工作原则、年度任务和工作要求。梳理完成《市</w:t>
      </w:r>
      <w:r>
        <w:rPr>
          <w:rFonts w:hint="eastAsia" w:ascii="仿宋" w:hAnsi="仿宋" w:eastAsia="仿宋" w:cs="仿宋"/>
          <w:color w:val="000000"/>
          <w:kern w:val="0"/>
          <w:sz w:val="24"/>
          <w:szCs w:val="24"/>
          <w:shd w:val="clear" w:color="auto" w:fill="FFFFFF"/>
          <w:lang w:eastAsia="zh-CN"/>
        </w:rPr>
        <w:t>投资合作促进中心</w:t>
      </w:r>
      <w:r>
        <w:rPr>
          <w:rFonts w:hint="eastAsia" w:ascii="仿宋" w:hAnsi="仿宋" w:eastAsia="仿宋" w:cs="仿宋"/>
          <w:color w:val="000000"/>
          <w:kern w:val="0"/>
          <w:sz w:val="24"/>
          <w:szCs w:val="24"/>
          <w:shd w:val="clear" w:color="auto" w:fill="FFFFFF"/>
        </w:rPr>
        <w:t>政府信息主动公开基本目录》，进一步明确</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政府信息公开的内容、时限、形式、主体等要素。</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3.抓好队伍培训。积极参加市政府组织的政府信息公开工作会议和业务培训，主动对各科室单位政府信息公开工作负责人进行培训，切实提高对政府信息公开工作的认识水平和工作能力。</w:t>
      </w:r>
      <w:r>
        <w:rPr>
          <w:rFonts w:hint="eastAsia" w:ascii="仿宋" w:hAnsi="仿宋" w:eastAsia="仿宋" w:cs="仿宋"/>
          <w:color w:val="000000"/>
          <w:kern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eastAsia" w:ascii="文星楷体" w:hAnsi="文星楷体" w:eastAsia="文星楷体" w:cs="文星楷体"/>
          <w:i w:val="0"/>
          <w:caps w:val="0"/>
          <w:color w:val="333333"/>
          <w:spacing w:val="0"/>
          <w:sz w:val="24"/>
          <w:szCs w:val="24"/>
        </w:rPr>
      </w:pPr>
      <w:r>
        <w:rPr>
          <w:rFonts w:hint="eastAsia" w:ascii="文星楷体" w:hAnsi="文星楷体" w:eastAsia="文星楷体" w:cs="文星楷体"/>
          <w:color w:val="000000"/>
          <w:kern w:val="0"/>
          <w:sz w:val="24"/>
          <w:szCs w:val="24"/>
        </w:rPr>
        <w:t>（</w:t>
      </w:r>
      <w:r>
        <w:rPr>
          <w:rFonts w:hint="eastAsia" w:ascii="文星楷体" w:hAnsi="文星楷体" w:eastAsia="文星楷体" w:cs="文星楷体"/>
          <w:color w:val="000000"/>
          <w:kern w:val="0"/>
          <w:sz w:val="24"/>
          <w:szCs w:val="24"/>
          <w:lang w:eastAsia="zh-CN"/>
        </w:rPr>
        <w:t>七</w:t>
      </w:r>
      <w:r>
        <w:rPr>
          <w:rFonts w:hint="eastAsia" w:ascii="文星楷体" w:hAnsi="文星楷体" w:eastAsia="文星楷体" w:cs="文星楷体"/>
          <w:color w:val="000000"/>
          <w:kern w:val="0"/>
          <w:sz w:val="24"/>
          <w:szCs w:val="24"/>
        </w:rPr>
        <w:t>）</w:t>
      </w:r>
      <w:r>
        <w:rPr>
          <w:rFonts w:hint="eastAsia" w:ascii="文星楷体" w:hAnsi="文星楷体" w:eastAsia="文星楷体" w:cs="文星楷体"/>
          <w:i w:val="0"/>
          <w:caps w:val="0"/>
          <w:color w:val="333333"/>
          <w:spacing w:val="0"/>
          <w:sz w:val="24"/>
          <w:szCs w:val="24"/>
          <w:shd w:val="clear" w:fill="FFFFFF"/>
        </w:rPr>
        <w:t>工作考核、社会评议和责任结果追究结果情况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 1.建立考核制度。主动接受市政府政务公开办公室对我中心政务公开工作的监督，同时根据市政府政务公开办公室政务公开日常记账考核制度，制定中心政务公开考核制度，发现问题督促各科室立即整改，确保政务信息及时准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2.主动听取社会公众意见。对于需要向社会进行意见征集的，及时在政府网站进行公示，并注明联系电话和邮箱，积极主动听取社会公众的意见与建议，及时进行解答。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3.责任追究结果情况。20</w:t>
      </w:r>
      <w:r>
        <w:rPr>
          <w:rFonts w:hint="eastAsia" w:ascii="仿宋" w:hAnsi="仿宋" w:eastAsia="仿宋" w:cs="仿宋"/>
          <w:i w:val="0"/>
          <w:caps w:val="0"/>
          <w:color w:val="333333"/>
          <w:spacing w:val="0"/>
          <w:sz w:val="24"/>
          <w:szCs w:val="24"/>
          <w:shd w:val="clear" w:fill="FFFFFF"/>
          <w:lang w:val="en-US" w:eastAsia="zh-CN"/>
        </w:rPr>
        <w:t>20</w:t>
      </w:r>
      <w:r>
        <w:rPr>
          <w:rFonts w:hint="eastAsia" w:ascii="仿宋" w:hAnsi="仿宋" w:eastAsia="仿宋" w:cs="仿宋"/>
          <w:i w:val="0"/>
          <w:caps w:val="0"/>
          <w:color w:val="333333"/>
          <w:spacing w:val="0"/>
          <w:sz w:val="24"/>
          <w:szCs w:val="24"/>
          <w:shd w:val="clear" w:fill="FFFFFF"/>
        </w:rPr>
        <w:t>年度我中心未出现因信息公开不到位需要进行责任结果追究结果的情况。</w:t>
      </w:r>
    </w:p>
    <w:p>
      <w:pPr>
        <w:widowControl/>
        <w:shd w:val="clear" w:color="auto" w:fill="FFFFFF"/>
        <w:wordWrap w:val="0"/>
        <w:spacing w:line="480" w:lineRule="atLeast"/>
        <w:ind w:firstLine="480" w:firstLineChars="200"/>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shd w:val="clear" w:color="auto" w:fill="FFFFFF"/>
        </w:rPr>
        <w:t>二、主动公开政府信息情况</w:t>
      </w:r>
    </w:p>
    <w:tbl>
      <w:tblPr>
        <w:tblStyle w:val="5"/>
        <w:tblW w:w="8708" w:type="dxa"/>
        <w:jc w:val="center"/>
        <w:tblLayout w:type="autofit"/>
        <w:tblCellMar>
          <w:top w:w="15" w:type="dxa"/>
          <w:left w:w="15" w:type="dxa"/>
          <w:bottom w:w="15" w:type="dxa"/>
          <w:right w:w="15" w:type="dxa"/>
        </w:tblCellMar>
      </w:tblPr>
      <w:tblGrid>
        <w:gridCol w:w="3073"/>
        <w:gridCol w:w="17"/>
        <w:gridCol w:w="1973"/>
        <w:gridCol w:w="1627"/>
        <w:gridCol w:w="2018"/>
      </w:tblGrid>
      <w:tr>
        <w:tblPrEx>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第二十条第（一）项</w:t>
            </w:r>
          </w:p>
        </w:tc>
      </w:tr>
      <w:tr>
        <w:tblPrEx>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199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本年新制作数量</w:t>
            </w:r>
          </w:p>
        </w:tc>
        <w:tc>
          <w:tcPr>
            <w:tcW w:w="16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本年新</w:t>
            </w:r>
          </w:p>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对外公开总数量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规章</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规范性文件</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199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上一年项目数量</w:t>
            </w:r>
          </w:p>
        </w:tc>
        <w:tc>
          <w:tcPr>
            <w:tcW w:w="16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行政许可</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其他对外管理服务事项</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199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上一年项目数量</w:t>
            </w:r>
          </w:p>
        </w:tc>
        <w:tc>
          <w:tcPr>
            <w:tcW w:w="16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行政处罚</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行政强制</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上一年项目数量</w:t>
            </w:r>
          </w:p>
        </w:tc>
        <w:tc>
          <w:tcPr>
            <w:tcW w:w="3645"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行政事业性收费</w:t>
            </w:r>
          </w:p>
        </w:tc>
        <w:tc>
          <w:tcPr>
            <w:tcW w:w="19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3645"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采购项目数量</w:t>
            </w:r>
          </w:p>
        </w:tc>
        <w:tc>
          <w:tcPr>
            <w:tcW w:w="3645"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采购总金额</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政府集中采购</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3645"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0</w:t>
            </w:r>
          </w:p>
        </w:tc>
      </w:tr>
    </w:tbl>
    <w:p>
      <w:pPr>
        <w:widowControl/>
        <w:shd w:val="clear" w:color="auto" w:fill="FFFFFF"/>
        <w:wordWrap w:val="0"/>
        <w:spacing w:line="480" w:lineRule="atLeas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w:t>
      </w:r>
      <w:r>
        <w:rPr>
          <w:rFonts w:hint="eastAsia" w:ascii="黑体" w:hAnsi="黑体" w:eastAsia="黑体" w:cs="黑体"/>
          <w:color w:val="000000"/>
          <w:kern w:val="0"/>
          <w:sz w:val="24"/>
          <w:szCs w:val="24"/>
          <w:shd w:val="clear" w:color="auto" w:fill="FFFFFF"/>
        </w:rPr>
        <w:t>三、收到和处理政府信息公开申请情况</w:t>
      </w:r>
    </w:p>
    <w:tbl>
      <w:tblPr>
        <w:tblStyle w:val="5"/>
        <w:tblW w:w="9071" w:type="dxa"/>
        <w:jc w:val="center"/>
        <w:tblLayout w:type="autofit"/>
        <w:tblCellMar>
          <w:top w:w="15" w:type="dxa"/>
          <w:left w:w="15" w:type="dxa"/>
          <w:bottom w:w="15" w:type="dxa"/>
          <w:right w:w="15" w:type="dxa"/>
        </w:tblCellMar>
      </w:tblPr>
      <w:tblGrid>
        <w:gridCol w:w="696"/>
        <w:gridCol w:w="1374"/>
        <w:gridCol w:w="2688"/>
        <w:gridCol w:w="829"/>
        <w:gridCol w:w="572"/>
        <w:gridCol w:w="572"/>
        <w:gridCol w:w="572"/>
        <w:gridCol w:w="572"/>
        <w:gridCol w:w="572"/>
        <w:gridCol w:w="624"/>
      </w:tblGrid>
      <w:tr>
        <w:tblPrEx>
          <w:tblCellMar>
            <w:top w:w="15" w:type="dxa"/>
            <w:left w:w="15" w:type="dxa"/>
            <w:bottom w:w="15" w:type="dxa"/>
            <w:right w:w="15" w:type="dxa"/>
          </w:tblCellMar>
        </w:tblPrEx>
        <w:trPr>
          <w:trHeight w:val="413" w:hRule="atLeast"/>
          <w:jc w:val="center"/>
        </w:trPr>
        <w:tc>
          <w:tcPr>
            <w:tcW w:w="47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（本列数据的勾稽关系为：第一项加第二项之和，</w:t>
            </w:r>
          </w:p>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等于第三项加第四项之和）</w:t>
            </w:r>
          </w:p>
        </w:tc>
        <w:tc>
          <w:tcPr>
            <w:tcW w:w="434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申请人情况</w:t>
            </w:r>
          </w:p>
        </w:tc>
      </w:tr>
      <w:tr>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83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自然人</w:t>
            </w:r>
          </w:p>
        </w:tc>
        <w:tc>
          <w:tcPr>
            <w:tcW w:w="28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法人或其他组织</w:t>
            </w:r>
          </w:p>
        </w:tc>
        <w:tc>
          <w:tcPr>
            <w:tcW w:w="62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总计</w:t>
            </w:r>
          </w:p>
        </w:tc>
      </w:tr>
      <w:tr>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jc w:val="center"/>
              <w:rPr>
                <w:rFonts w:hint="eastAsia" w:ascii="仿宋" w:hAnsi="仿宋" w:eastAsia="仿宋" w:cs="仿宋"/>
                <w:kern w:val="0"/>
                <w:sz w:val="24"/>
                <w:szCs w:val="24"/>
              </w:rPr>
            </w:pPr>
            <w:r>
              <w:rPr>
                <w:rFonts w:hint="eastAsia" w:ascii="仿宋" w:hAnsi="仿宋" w:eastAsia="仿宋" w:cs="仿宋"/>
                <w:kern w:val="0"/>
                <w:sz w:val="24"/>
                <w:szCs w:val="24"/>
              </w:rPr>
              <w:t>商业企业</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rPr>
                <w:rFonts w:hint="eastAsia" w:ascii="仿宋" w:hAnsi="仿宋" w:eastAsia="仿宋" w:cs="仿宋"/>
                <w:kern w:val="0"/>
                <w:sz w:val="24"/>
                <w:szCs w:val="24"/>
              </w:rPr>
            </w:pPr>
            <w:r>
              <w:rPr>
                <w:rFonts w:hint="eastAsia" w:ascii="仿宋" w:hAnsi="仿宋" w:eastAsia="仿宋" w:cs="仿宋"/>
                <w:kern w:val="0"/>
                <w:sz w:val="24"/>
                <w:szCs w:val="24"/>
              </w:rPr>
              <w:t>科研机构</w:t>
            </w:r>
          </w:p>
        </w:tc>
        <w:tc>
          <w:tcPr>
            <w:tcW w:w="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rPr>
                <w:rFonts w:hint="eastAsia" w:ascii="仿宋" w:hAnsi="仿宋" w:eastAsia="仿宋" w:cs="仿宋"/>
                <w:kern w:val="0"/>
                <w:sz w:val="24"/>
                <w:szCs w:val="24"/>
              </w:rPr>
            </w:pPr>
            <w:r>
              <w:rPr>
                <w:rFonts w:hint="eastAsia" w:ascii="仿宋" w:hAnsi="仿宋" w:eastAsia="仿宋" w:cs="仿宋"/>
                <w:kern w:val="0"/>
                <w:sz w:val="24"/>
                <w:szCs w:val="24"/>
              </w:rPr>
              <w:t>社会公益组织</w:t>
            </w:r>
          </w:p>
        </w:tc>
        <w:tc>
          <w:tcPr>
            <w:tcW w:w="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jc w:val="center"/>
              <w:rPr>
                <w:rFonts w:hint="eastAsia" w:ascii="仿宋" w:hAnsi="仿宋" w:eastAsia="仿宋" w:cs="仿宋"/>
                <w:kern w:val="0"/>
                <w:sz w:val="24"/>
                <w:szCs w:val="24"/>
              </w:rPr>
            </w:pPr>
            <w:r>
              <w:rPr>
                <w:rFonts w:hint="eastAsia" w:ascii="仿宋" w:hAnsi="仿宋" w:eastAsia="仿宋" w:cs="仿宋"/>
                <w:kern w:val="0"/>
                <w:sz w:val="24"/>
                <w:szCs w:val="24"/>
              </w:rPr>
              <w:t>法律服务机构</w:t>
            </w:r>
          </w:p>
        </w:tc>
        <w:tc>
          <w:tcPr>
            <w:tcW w:w="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left="-63" w:right="-134"/>
              <w:jc w:val="center"/>
              <w:rPr>
                <w:rFonts w:hint="eastAsia" w:ascii="仿宋" w:hAnsi="仿宋" w:eastAsia="仿宋" w:cs="仿宋"/>
                <w:kern w:val="0"/>
                <w:sz w:val="24"/>
                <w:szCs w:val="24"/>
              </w:rPr>
            </w:pPr>
            <w:r>
              <w:rPr>
                <w:rFonts w:hint="eastAsia" w:ascii="仿宋" w:hAnsi="仿宋" w:eastAsia="仿宋" w:cs="仿宋"/>
                <w:kern w:val="0"/>
                <w:sz w:val="24"/>
                <w:szCs w:val="24"/>
              </w:rPr>
              <w:t>　　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r>
      <w:tr>
        <w:tblPrEx>
          <w:tblCellMar>
            <w:top w:w="15" w:type="dxa"/>
            <w:left w:w="15" w:type="dxa"/>
            <w:bottom w:w="15" w:type="dxa"/>
            <w:right w:w="15" w:type="dxa"/>
          </w:tblCellMar>
        </w:tblPrEx>
        <w:trPr>
          <w:jc w:val="center"/>
        </w:trPr>
        <w:tc>
          <w:tcPr>
            <w:tcW w:w="472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一、本年新收政府信息公开申请数量</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jc w:val="center"/>
        </w:trPr>
        <w:tc>
          <w:tcPr>
            <w:tcW w:w="472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二、上年结转政府信息公开申请数量</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三、本年度办理结果</w:t>
            </w:r>
          </w:p>
        </w:tc>
        <w:tc>
          <w:tcPr>
            <w:tcW w:w="4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（一）予以公开</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（二）部分公开（区分处理的，只计这一情形，不计其他情形）</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138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ind w:left="-107"/>
              <w:jc w:val="left"/>
              <w:rPr>
                <w:rFonts w:hint="eastAsia" w:ascii="仿宋" w:hAnsi="仿宋" w:eastAsia="仿宋" w:cs="仿宋"/>
                <w:kern w:val="0"/>
                <w:sz w:val="24"/>
                <w:szCs w:val="24"/>
              </w:rPr>
            </w:pPr>
            <w:r>
              <w:rPr>
                <w:rFonts w:hint="eastAsia" w:ascii="仿宋" w:hAnsi="仿宋" w:eastAsia="仿宋" w:cs="仿宋"/>
                <w:kern w:val="0"/>
                <w:sz w:val="24"/>
                <w:szCs w:val="24"/>
              </w:rPr>
              <w:t>　　（三）不予公开</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1.属于国家秘密</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2.其他法律行政法规禁止公开</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3.危及“三安全一稳定”</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4.保护第三方合法权益</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5.属于三类内部事务信息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6.属于四类过程性信息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7.属于行政执法案卷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8.属于行政查询事项</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138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ind w:left="-107"/>
              <w:jc w:val="left"/>
              <w:rPr>
                <w:rFonts w:hint="eastAsia" w:ascii="仿宋" w:hAnsi="仿宋" w:eastAsia="仿宋" w:cs="仿宋"/>
                <w:kern w:val="0"/>
                <w:sz w:val="24"/>
                <w:szCs w:val="24"/>
              </w:rPr>
            </w:pPr>
            <w:r>
              <w:rPr>
                <w:rFonts w:hint="eastAsia" w:ascii="仿宋" w:hAnsi="仿宋" w:eastAsia="仿宋" w:cs="仿宋"/>
                <w:kern w:val="0"/>
                <w:sz w:val="24"/>
                <w:szCs w:val="24"/>
              </w:rPr>
              <w:t>　　（四）无法提供</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1.本机关不掌握相关政府信息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2.没有现成信息需要另行制作</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3.补正后申请内容仍不明确</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138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ind w:left="-107"/>
              <w:jc w:val="left"/>
              <w:rPr>
                <w:rFonts w:hint="eastAsia" w:ascii="仿宋" w:hAnsi="仿宋" w:eastAsia="仿宋" w:cs="仿宋"/>
                <w:kern w:val="0"/>
                <w:sz w:val="24"/>
                <w:szCs w:val="24"/>
              </w:rPr>
            </w:pPr>
            <w:r>
              <w:rPr>
                <w:rFonts w:hint="eastAsia" w:ascii="仿宋" w:hAnsi="仿宋" w:eastAsia="仿宋" w:cs="仿宋"/>
                <w:kern w:val="0"/>
                <w:sz w:val="24"/>
                <w:szCs w:val="24"/>
              </w:rPr>
              <w:t>　　（五）不予处理</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1.信访举报投诉类申请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2.重复申请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3.要求提供公开出版物</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4.无正当理由大量反复申请</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5.要求行政机关确认或重新</w:t>
            </w:r>
          </w:p>
          <w:p>
            <w:pPr>
              <w:widowControl/>
              <w:spacing w:line="3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出具已获取信息</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（六）其他处理</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（七）总计</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r>
      <w:tr>
        <w:tblPrEx>
          <w:tblCellMar>
            <w:top w:w="15" w:type="dxa"/>
            <w:left w:w="15" w:type="dxa"/>
            <w:bottom w:w="15" w:type="dxa"/>
            <w:right w:w="15" w:type="dxa"/>
          </w:tblCellMar>
        </w:tblPrEx>
        <w:trPr>
          <w:jc w:val="center"/>
        </w:trPr>
        <w:tc>
          <w:tcPr>
            <w:tcW w:w="472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四、结转下年度继续办理</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bl>
    <w:p>
      <w:pPr>
        <w:widowControl/>
        <w:shd w:val="clear" w:color="auto" w:fill="FFFFFF"/>
        <w:wordWrap w:val="0"/>
        <w:spacing w:line="480" w:lineRule="atLeas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w:t>
      </w:r>
      <w:r>
        <w:rPr>
          <w:rFonts w:hint="eastAsia" w:ascii="黑体" w:hAnsi="黑体" w:eastAsia="黑体" w:cs="黑体"/>
          <w:color w:val="000000"/>
          <w:kern w:val="0"/>
          <w:sz w:val="24"/>
          <w:szCs w:val="24"/>
          <w:shd w:val="clear" w:color="auto" w:fill="FFFFFF"/>
        </w:rPr>
        <w:t>四、政府信息公开行政复议、行政诉讼情况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562"/>
        <w:gridCol w:w="646"/>
        <w:gridCol w:w="605"/>
        <w:gridCol w:w="605"/>
        <w:gridCol w:w="605"/>
        <w:gridCol w:w="605"/>
        <w:gridCol w:w="605"/>
        <w:gridCol w:w="605"/>
        <w:gridCol w:w="605"/>
        <w:gridCol w:w="606"/>
        <w:gridCol w:w="606"/>
      </w:tblGrid>
      <w:tr>
        <w:trPr>
          <w:trHeight w:val="497" w:hRule="atLeast"/>
          <w:jc w:val="center"/>
        </w:trPr>
        <w:tc>
          <w:tcPr>
            <w:tcW w:w="297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行政复议</w:t>
            </w:r>
          </w:p>
        </w:tc>
        <w:tc>
          <w:tcPr>
            <w:tcW w:w="609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49" w:right="-170"/>
              <w:jc w:val="center"/>
              <w:rPr>
                <w:rFonts w:hint="eastAsia" w:ascii="仿宋" w:hAnsi="仿宋" w:eastAsia="仿宋" w:cs="仿宋"/>
                <w:kern w:val="0"/>
                <w:sz w:val="24"/>
                <w:szCs w:val="24"/>
              </w:rPr>
            </w:pPr>
            <w:r>
              <w:rPr>
                <w:rFonts w:hint="eastAsia" w:ascii="仿宋" w:hAnsi="仿宋" w:eastAsia="仿宋" w:cs="仿宋"/>
                <w:kern w:val="0"/>
                <w:sz w:val="24"/>
                <w:szCs w:val="24"/>
              </w:rPr>
              <w:t>　　结果</w:t>
            </w:r>
          </w:p>
          <w:p>
            <w:pPr>
              <w:widowControl/>
              <w:spacing w:line="480" w:lineRule="atLeast"/>
              <w:ind w:right="-170"/>
              <w:jc w:val="both"/>
              <w:rPr>
                <w:rFonts w:hint="eastAsia" w:ascii="仿宋" w:hAnsi="仿宋" w:eastAsia="仿宋" w:cs="仿宋"/>
                <w:kern w:val="0"/>
                <w:sz w:val="24"/>
                <w:szCs w:val="24"/>
              </w:rPr>
            </w:pPr>
            <w:r>
              <w:rPr>
                <w:rFonts w:hint="eastAsia" w:ascii="仿宋" w:hAnsi="仿宋" w:eastAsia="仿宋" w:cs="仿宋"/>
                <w:kern w:val="0"/>
                <w:sz w:val="24"/>
                <w:szCs w:val="24"/>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43" w:right="-132"/>
              <w:jc w:val="center"/>
              <w:rPr>
                <w:rFonts w:hint="eastAsia" w:ascii="仿宋" w:hAnsi="仿宋" w:eastAsia="仿宋" w:cs="仿宋"/>
                <w:kern w:val="0"/>
                <w:sz w:val="24"/>
                <w:szCs w:val="24"/>
              </w:rPr>
            </w:pPr>
            <w:r>
              <w:rPr>
                <w:rFonts w:hint="eastAsia" w:ascii="仿宋" w:hAnsi="仿宋" w:eastAsia="仿宋" w:cs="仿宋"/>
                <w:kern w:val="0"/>
                <w:sz w:val="24"/>
                <w:szCs w:val="24"/>
              </w:rPr>
              <w:t>　　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82" w:right="-97"/>
              <w:jc w:val="center"/>
              <w:rPr>
                <w:rFonts w:hint="eastAsia" w:ascii="仿宋" w:hAnsi="仿宋" w:eastAsia="仿宋" w:cs="仿宋"/>
                <w:kern w:val="0"/>
                <w:sz w:val="24"/>
                <w:szCs w:val="24"/>
              </w:rPr>
            </w:pPr>
            <w:r>
              <w:rPr>
                <w:rFonts w:hint="eastAsia" w:ascii="仿宋" w:hAnsi="仿宋" w:eastAsia="仿宋" w:cs="仿宋"/>
                <w:kern w:val="0"/>
                <w:sz w:val="24"/>
                <w:szCs w:val="24"/>
              </w:rPr>
              <w:t>　　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18" w:right="-118"/>
              <w:jc w:val="center"/>
              <w:rPr>
                <w:rFonts w:hint="eastAsia" w:ascii="仿宋" w:hAnsi="仿宋" w:eastAsia="仿宋" w:cs="仿宋"/>
                <w:kern w:val="0"/>
                <w:sz w:val="24"/>
                <w:szCs w:val="24"/>
              </w:rPr>
            </w:pPr>
            <w:r>
              <w:rPr>
                <w:rFonts w:hint="eastAsia" w:ascii="仿宋" w:hAnsi="仿宋" w:eastAsia="仿宋" w:cs="仿宋"/>
                <w:kern w:val="0"/>
                <w:sz w:val="24"/>
                <w:szCs w:val="24"/>
              </w:rPr>
              <w:t>　　尚未</w:t>
            </w:r>
          </w:p>
          <w:p>
            <w:pPr>
              <w:widowControl/>
              <w:spacing w:line="480" w:lineRule="atLeast"/>
              <w:ind w:right="-118"/>
              <w:jc w:val="both"/>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56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总</w:t>
            </w:r>
          </w:p>
          <w:p>
            <w:pPr>
              <w:widowControl/>
              <w:spacing w:line="32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计</w:t>
            </w:r>
          </w:p>
        </w:tc>
        <w:tc>
          <w:tcPr>
            <w:tcW w:w="306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复议后起诉</w:t>
            </w:r>
          </w:p>
        </w:tc>
      </w:tr>
      <w:tr>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562"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right="-126"/>
              <w:jc w:val="both"/>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86" w:right="-88"/>
              <w:jc w:val="both"/>
              <w:rPr>
                <w:rFonts w:hint="eastAsia" w:ascii="仿宋" w:hAnsi="仿宋" w:eastAsia="仿宋" w:cs="仿宋"/>
                <w:kern w:val="0"/>
                <w:sz w:val="24"/>
                <w:szCs w:val="24"/>
              </w:rPr>
            </w:pPr>
            <w:r>
              <w:rPr>
                <w:rFonts w:hint="eastAsia" w:ascii="仿宋" w:hAnsi="仿宋" w:eastAsia="仿宋" w:cs="仿宋"/>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right="-136"/>
              <w:jc w:val="both"/>
              <w:rPr>
                <w:rFonts w:hint="eastAsia" w:ascii="仿宋" w:hAnsi="仿宋" w:eastAsia="仿宋" w:cs="仿宋"/>
                <w:kern w:val="0"/>
                <w:sz w:val="24"/>
                <w:szCs w:val="24"/>
              </w:rPr>
            </w:pPr>
            <w:r>
              <w:rPr>
                <w:rFonts w:hint="eastAsia" w:ascii="仿宋" w:hAnsi="仿宋" w:eastAsia="仿宋" w:cs="仿宋"/>
                <w:kern w:val="0"/>
                <w:sz w:val="24"/>
                <w:szCs w:val="24"/>
              </w:rPr>
              <w:t>其他　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64" w:right="-153"/>
              <w:jc w:val="center"/>
              <w:rPr>
                <w:rFonts w:hint="eastAsia" w:ascii="仿宋" w:hAnsi="仿宋" w:eastAsia="仿宋" w:cs="仿宋"/>
                <w:kern w:val="0"/>
                <w:sz w:val="24"/>
                <w:szCs w:val="24"/>
              </w:rPr>
            </w:pPr>
            <w:r>
              <w:rPr>
                <w:rFonts w:hint="eastAsia" w:ascii="仿宋" w:hAnsi="仿宋" w:eastAsia="仿宋" w:cs="仿宋"/>
                <w:kern w:val="0"/>
                <w:sz w:val="24"/>
                <w:szCs w:val="24"/>
              </w:rPr>
              <w:t>尚未</w:t>
            </w:r>
          </w:p>
          <w:p>
            <w:pPr>
              <w:widowControl/>
              <w:spacing w:line="480" w:lineRule="atLeast"/>
              <w:ind w:left="-164" w:right="-153"/>
              <w:jc w:val="center"/>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99" w:right="-78"/>
              <w:jc w:val="both"/>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36" w:right="-124"/>
              <w:jc w:val="both"/>
              <w:rPr>
                <w:rFonts w:hint="eastAsia" w:ascii="仿宋" w:hAnsi="仿宋" w:eastAsia="仿宋" w:cs="仿宋"/>
                <w:kern w:val="0"/>
                <w:sz w:val="24"/>
                <w:szCs w:val="24"/>
              </w:rPr>
            </w:pPr>
            <w:r>
              <w:rPr>
                <w:rFonts w:hint="eastAsia" w:ascii="仿宋" w:hAnsi="仿宋" w:eastAsia="仿宋" w:cs="仿宋"/>
                <w:kern w:val="0"/>
                <w:sz w:val="24"/>
                <w:szCs w:val="24"/>
              </w:rPr>
              <w:t>结果　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73" w:right="-134"/>
              <w:jc w:val="center"/>
              <w:rPr>
                <w:rFonts w:hint="eastAsia" w:ascii="仿宋" w:hAnsi="仿宋" w:eastAsia="仿宋" w:cs="仿宋"/>
                <w:kern w:val="0"/>
                <w:sz w:val="24"/>
                <w:szCs w:val="24"/>
              </w:rPr>
            </w:pPr>
            <w:r>
              <w:rPr>
                <w:rFonts w:hint="eastAsia" w:ascii="仿宋" w:hAnsi="仿宋" w:eastAsia="仿宋" w:cs="仿宋"/>
                <w:kern w:val="0"/>
                <w:sz w:val="24"/>
                <w:szCs w:val="24"/>
              </w:rPr>
              <w:t>其他</w:t>
            </w:r>
          </w:p>
          <w:p>
            <w:pPr>
              <w:widowControl/>
              <w:spacing w:line="480" w:lineRule="atLeast"/>
              <w:ind w:left="-173" w:right="-134"/>
              <w:jc w:val="center"/>
              <w:rPr>
                <w:rFonts w:hint="eastAsia" w:ascii="仿宋" w:hAnsi="仿宋" w:eastAsia="仿宋" w:cs="仿宋"/>
                <w:kern w:val="0"/>
                <w:sz w:val="24"/>
                <w:szCs w:val="24"/>
              </w:rPr>
            </w:pPr>
            <w:r>
              <w:rPr>
                <w:rFonts w:hint="eastAsia" w:ascii="仿宋" w:hAnsi="仿宋" w:eastAsia="仿宋" w:cs="仿宋"/>
                <w:kern w:val="0"/>
                <w:sz w:val="24"/>
                <w:szCs w:val="24"/>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67" w:right="-105"/>
              <w:jc w:val="both"/>
              <w:rPr>
                <w:rFonts w:hint="eastAsia" w:ascii="仿宋" w:hAnsi="仿宋" w:eastAsia="仿宋" w:cs="仿宋"/>
                <w:kern w:val="0"/>
                <w:sz w:val="24"/>
                <w:szCs w:val="24"/>
              </w:rPr>
            </w:pPr>
            <w:r>
              <w:rPr>
                <w:rFonts w:hint="eastAsia" w:ascii="仿宋" w:hAnsi="仿宋" w:eastAsia="仿宋" w:cs="仿宋"/>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bl>
    <w:p>
      <w:pPr>
        <w:widowControl/>
        <w:shd w:val="clear" w:color="auto" w:fill="FFFFFF"/>
        <w:wordWrap w:val="0"/>
        <w:spacing w:line="480" w:lineRule="atLeas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w:t>
      </w:r>
      <w:r>
        <w:rPr>
          <w:rFonts w:hint="eastAsia" w:ascii="黑体" w:hAnsi="黑体" w:eastAsia="黑体" w:cs="黑体"/>
          <w:color w:val="000000"/>
          <w:kern w:val="0"/>
          <w:sz w:val="24"/>
          <w:szCs w:val="24"/>
          <w:shd w:val="clear" w:color="auto" w:fill="FFFFFF"/>
        </w:rPr>
        <w:t>五、存在的主要问题及改进情况</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（一）201</w:t>
      </w:r>
      <w:r>
        <w:rPr>
          <w:rFonts w:hint="eastAsia" w:ascii="文星楷体" w:hAnsi="文星楷体" w:eastAsia="文星楷体" w:cs="文星楷体"/>
          <w:color w:val="000000"/>
          <w:kern w:val="0"/>
          <w:sz w:val="24"/>
          <w:szCs w:val="24"/>
          <w:shd w:val="clear" w:color="auto" w:fill="FFFFFF"/>
          <w:lang w:val="en-US" w:eastAsia="zh-CN"/>
        </w:rPr>
        <w:t>9</w:t>
      </w:r>
      <w:r>
        <w:rPr>
          <w:rFonts w:hint="eastAsia" w:ascii="文星楷体" w:hAnsi="文星楷体" w:eastAsia="文星楷体" w:cs="文星楷体"/>
          <w:color w:val="000000"/>
          <w:kern w:val="0"/>
          <w:sz w:val="24"/>
          <w:szCs w:val="24"/>
          <w:shd w:val="clear" w:color="auto" w:fill="FFFFFF"/>
        </w:rPr>
        <w:t>年问题整改情况。</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一是强化政府信息公开工作培训，第一时间对新修订的《政府信息公开条例》进行了</w:t>
      </w:r>
      <w:r>
        <w:rPr>
          <w:rFonts w:hint="eastAsia" w:ascii="仿宋" w:hAnsi="仿宋" w:eastAsia="仿宋" w:cs="仿宋"/>
          <w:color w:val="000000"/>
          <w:kern w:val="0"/>
          <w:sz w:val="24"/>
          <w:szCs w:val="24"/>
          <w:shd w:val="clear" w:color="auto" w:fill="FFFFFF"/>
          <w:lang w:eastAsia="zh-CN"/>
        </w:rPr>
        <w:t>培训学习</w:t>
      </w:r>
      <w:r>
        <w:rPr>
          <w:rFonts w:hint="eastAsia" w:ascii="仿宋" w:hAnsi="仿宋" w:eastAsia="仿宋" w:cs="仿宋"/>
          <w:color w:val="000000"/>
          <w:kern w:val="0"/>
          <w:sz w:val="24"/>
          <w:szCs w:val="24"/>
          <w:shd w:val="clear" w:color="auto" w:fill="FFFFFF"/>
        </w:rPr>
        <w:t>。</w:t>
      </w:r>
      <w:r>
        <w:rPr>
          <w:rFonts w:hint="eastAsia" w:ascii="仿宋" w:hAnsi="仿宋" w:eastAsia="仿宋" w:cs="仿宋"/>
          <w:color w:val="000000"/>
          <w:kern w:val="0"/>
          <w:sz w:val="24"/>
          <w:szCs w:val="24"/>
          <w:shd w:val="clear" w:color="auto" w:fill="FFFFFF"/>
          <w:lang w:eastAsia="zh-CN"/>
        </w:rPr>
        <w:t>二</w:t>
      </w:r>
      <w:r>
        <w:rPr>
          <w:rFonts w:hint="eastAsia" w:ascii="仿宋" w:hAnsi="仿宋" w:eastAsia="仿宋" w:cs="仿宋"/>
          <w:color w:val="000000"/>
          <w:kern w:val="0"/>
          <w:sz w:val="24"/>
          <w:szCs w:val="24"/>
          <w:shd w:val="clear" w:color="auto" w:fill="FFFFFF"/>
        </w:rPr>
        <w:t>是将政府信息公开工作纳入全</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绩效考核，调动各科室单位积极性。</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（二）20</w:t>
      </w:r>
      <w:r>
        <w:rPr>
          <w:rFonts w:hint="eastAsia" w:ascii="文星楷体" w:hAnsi="文星楷体" w:eastAsia="文星楷体" w:cs="文星楷体"/>
          <w:color w:val="000000"/>
          <w:kern w:val="0"/>
          <w:sz w:val="24"/>
          <w:szCs w:val="24"/>
          <w:shd w:val="clear" w:color="auto" w:fill="FFFFFF"/>
          <w:lang w:val="en-US" w:eastAsia="zh-CN"/>
        </w:rPr>
        <w:t>20</w:t>
      </w:r>
      <w:r>
        <w:rPr>
          <w:rFonts w:hint="eastAsia" w:ascii="文星楷体" w:hAnsi="文星楷体" w:eastAsia="文星楷体" w:cs="文星楷体"/>
          <w:color w:val="000000"/>
          <w:kern w:val="0"/>
          <w:sz w:val="24"/>
          <w:szCs w:val="24"/>
          <w:shd w:val="clear" w:color="auto" w:fill="FFFFFF"/>
        </w:rPr>
        <w:t>年存在的主要问题。</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一是对公开的新要求学习不够深入。《政府信息公开条例》修订后，对政府信息公开工作提出了新要求。在这种情况下，对政府信息公开工作的培训没有完全跟上，</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内部分职工对其系统性认识不够深刻。</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二是公开工作机制不够完善。</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机关《政府信息公开工作管理考核</w:t>
      </w:r>
      <w:bookmarkStart w:id="0" w:name="_GoBack"/>
      <w:bookmarkEnd w:id="0"/>
      <w:r>
        <w:rPr>
          <w:rFonts w:hint="eastAsia" w:ascii="仿宋" w:hAnsi="仿宋" w:eastAsia="仿宋" w:cs="仿宋"/>
          <w:color w:val="000000"/>
          <w:kern w:val="0"/>
          <w:sz w:val="24"/>
          <w:szCs w:val="24"/>
          <w:shd w:val="clear" w:color="auto" w:fill="FFFFFF"/>
        </w:rPr>
        <w:t>办法》需要进一步修订，全</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的政府信息公开工作体系还需完善，公开渠道和形式需要进一步创新。</w:t>
      </w:r>
    </w:p>
    <w:p>
      <w:pPr>
        <w:widowControl/>
        <w:shd w:val="clear" w:color="auto" w:fill="FFFFFF"/>
        <w:wordWrap w:val="0"/>
        <w:spacing w:line="480" w:lineRule="atLeast"/>
        <w:rPr>
          <w:rFonts w:hint="eastAsia" w:ascii="文星楷体" w:hAnsi="文星楷体" w:eastAsia="文星楷体" w:cs="文星楷体"/>
          <w:color w:val="000000"/>
          <w:kern w:val="0"/>
          <w:sz w:val="24"/>
          <w:szCs w:val="24"/>
        </w:rPr>
      </w:pPr>
      <w:r>
        <w:rPr>
          <w:rFonts w:hint="eastAsia" w:ascii="文星楷体" w:hAnsi="文星楷体" w:eastAsia="文星楷体" w:cs="文星楷体"/>
          <w:color w:val="000000"/>
          <w:kern w:val="0"/>
          <w:sz w:val="24"/>
          <w:szCs w:val="24"/>
        </w:rPr>
        <w:t>　　</w:t>
      </w:r>
      <w:r>
        <w:rPr>
          <w:rFonts w:hint="eastAsia" w:ascii="文星楷体" w:hAnsi="文星楷体" w:eastAsia="文星楷体" w:cs="文星楷体"/>
          <w:color w:val="000000"/>
          <w:kern w:val="0"/>
          <w:sz w:val="24"/>
          <w:szCs w:val="24"/>
          <w:shd w:val="clear" w:color="auto" w:fill="FFFFFF"/>
        </w:rPr>
        <w:t>（三）改进措施。</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一是强化公开队伍建设与培训。强化</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政府信息公开工作人员队伍建设，</w:t>
      </w:r>
      <w:r>
        <w:rPr>
          <w:rFonts w:hint="eastAsia" w:ascii="仿宋" w:hAnsi="仿宋" w:eastAsia="仿宋" w:cs="仿宋"/>
          <w:color w:val="000000"/>
          <w:kern w:val="0"/>
          <w:sz w:val="24"/>
          <w:szCs w:val="24"/>
          <w:shd w:val="clear" w:color="auto" w:fill="FFFFFF"/>
          <w:lang w:eastAsia="zh-CN"/>
        </w:rPr>
        <w:t>并</w:t>
      </w:r>
      <w:r>
        <w:rPr>
          <w:rFonts w:hint="eastAsia" w:ascii="仿宋" w:hAnsi="仿宋" w:eastAsia="仿宋" w:cs="仿宋"/>
          <w:color w:val="000000"/>
          <w:kern w:val="0"/>
          <w:sz w:val="24"/>
          <w:szCs w:val="24"/>
          <w:shd w:val="clear" w:color="auto" w:fill="FFFFFF"/>
        </w:rPr>
        <w:t>切实提高工作人员对政府信息公开工作的认识水平和工作能力。</w:t>
      </w:r>
    </w:p>
    <w:p>
      <w:pPr>
        <w:widowControl/>
        <w:shd w:val="clear" w:color="auto" w:fill="FFFFFF"/>
        <w:wordWrap w:val="0"/>
        <w:spacing w:line="48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shd w:val="clear" w:color="auto" w:fill="FFFFFF"/>
        </w:rPr>
        <w:t>二是不断健全政府信息公开工作机制。根据新修订的《政府信息公开条例》和上级工作邀请，修订完善《政府信息公开工作管理考核办法》，确保新要求得到有效落实；完善全</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政府信息公开工作机制，进一步提高</w:t>
      </w:r>
      <w:r>
        <w:rPr>
          <w:rFonts w:hint="eastAsia" w:ascii="仿宋" w:hAnsi="仿宋" w:eastAsia="仿宋" w:cs="仿宋"/>
          <w:color w:val="000000"/>
          <w:kern w:val="0"/>
          <w:sz w:val="24"/>
          <w:szCs w:val="24"/>
          <w:shd w:val="clear" w:color="auto" w:fill="FFFFFF"/>
          <w:lang w:eastAsia="zh-CN"/>
        </w:rPr>
        <w:t>中心</w:t>
      </w:r>
      <w:r>
        <w:rPr>
          <w:rFonts w:hint="eastAsia" w:ascii="仿宋" w:hAnsi="仿宋" w:eastAsia="仿宋" w:cs="仿宋"/>
          <w:color w:val="000000"/>
          <w:kern w:val="0"/>
          <w:sz w:val="24"/>
          <w:szCs w:val="24"/>
          <w:shd w:val="clear" w:color="auto" w:fill="FFFFFF"/>
        </w:rPr>
        <w:t>政府信息公开工作规范化、制度化水平。</w:t>
      </w:r>
    </w:p>
    <w:p>
      <w:pPr>
        <w:widowControl/>
        <w:shd w:val="clear" w:color="auto" w:fill="FFFFFF"/>
        <w:wordWrap w:val="0"/>
        <w:spacing w:line="480" w:lineRule="atLeas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六、其他需要报告的事项</w:t>
      </w:r>
    </w:p>
    <w:p>
      <w:pPr>
        <w:widowControl/>
        <w:shd w:val="clear" w:color="auto" w:fill="FFFFFF"/>
        <w:wordWrap w:val="0"/>
        <w:spacing w:line="480" w:lineRule="atLeast"/>
        <w:ind w:firstLine="480" w:firstLineChars="200"/>
        <w:rPr>
          <w:rFonts w:hint="eastAsia" w:ascii="仿宋" w:hAnsi="仿宋" w:eastAsia="仿宋" w:cs="仿宋"/>
          <w:color w:val="000000"/>
          <w:kern w:val="0"/>
          <w:sz w:val="24"/>
          <w:szCs w:val="24"/>
        </w:rPr>
      </w:pPr>
      <w:r>
        <w:rPr>
          <w:rFonts w:hint="eastAsia" w:ascii="文星楷体" w:hAnsi="文星楷体" w:eastAsia="文星楷体" w:cs="文星楷体"/>
          <w:color w:val="000000"/>
          <w:kern w:val="0"/>
          <w:sz w:val="24"/>
          <w:szCs w:val="24"/>
        </w:rPr>
        <w:t>人大建议、政协提案办理情况。</w:t>
      </w:r>
      <w:r>
        <w:rPr>
          <w:rFonts w:hint="eastAsia" w:ascii="仿宋" w:hAnsi="仿宋" w:eastAsia="仿宋" w:cs="仿宋"/>
          <w:color w:val="000000"/>
          <w:kern w:val="0"/>
          <w:sz w:val="24"/>
          <w:szCs w:val="24"/>
        </w:rPr>
        <w:t>20</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年，我</w:t>
      </w:r>
      <w:r>
        <w:rPr>
          <w:rFonts w:hint="eastAsia" w:ascii="仿宋" w:hAnsi="仿宋" w:eastAsia="仿宋" w:cs="仿宋"/>
          <w:color w:val="000000"/>
          <w:kern w:val="0"/>
          <w:sz w:val="24"/>
          <w:szCs w:val="24"/>
          <w:lang w:eastAsia="zh-CN"/>
        </w:rPr>
        <w:t>中心无</w:t>
      </w:r>
      <w:r>
        <w:rPr>
          <w:rFonts w:hint="eastAsia" w:ascii="仿宋" w:hAnsi="仿宋" w:eastAsia="仿宋" w:cs="仿宋"/>
          <w:color w:val="000000"/>
          <w:kern w:val="0"/>
          <w:sz w:val="24"/>
          <w:szCs w:val="24"/>
        </w:rPr>
        <w:t>人大代表建议和政协委员提案办理。</w:t>
      </w:r>
    </w:p>
    <w:p>
      <w:pPr>
        <w:widowControl/>
        <w:shd w:val="clear" w:color="auto" w:fill="FFFFFF"/>
        <w:wordWrap w:val="0"/>
        <w:spacing w:line="480" w:lineRule="atLeast"/>
        <w:jc w:val="righ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安丘市投资合作促进中心</w:t>
      </w:r>
    </w:p>
    <w:p>
      <w:pPr>
        <w:widowControl/>
        <w:wordWrap w:val="0"/>
        <w:spacing w:line="480" w:lineRule="atLeast"/>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202</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年1月</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 xml:space="preserve">日  </w:t>
      </w:r>
    </w:p>
    <w:p>
      <w:pPr>
        <w:widowControl/>
        <w:wordWrap/>
        <w:spacing w:line="48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widowControl/>
        <w:wordWrap/>
        <w:spacing w:line="480" w:lineRule="atLeast"/>
        <w:jc w:val="left"/>
        <w:rPr>
          <w:rFonts w:hint="eastAsia" w:ascii="仿宋" w:hAnsi="仿宋" w:eastAsia="仿宋" w:cs="仿宋"/>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文星楷体">
    <w:altName w:val="楷体_GB2312"/>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ACC7F"/>
    <w:multiLevelType w:val="singleLevel"/>
    <w:tmpl w:val="2E9ACC7F"/>
    <w:lvl w:ilvl="0" w:tentative="0">
      <w:start w:val="3"/>
      <w:numFmt w:val="decimal"/>
      <w:lvlText w:val="%1."/>
      <w:lvlJc w:val="left"/>
      <w:pPr>
        <w:tabs>
          <w:tab w:val="left" w:pos="312"/>
        </w:tabs>
        <w:ind w:left="43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2702"/>
    <w:rsid w:val="00323377"/>
    <w:rsid w:val="004938F0"/>
    <w:rsid w:val="006C2899"/>
    <w:rsid w:val="00702DAA"/>
    <w:rsid w:val="00725752"/>
    <w:rsid w:val="008C1765"/>
    <w:rsid w:val="008E7C3C"/>
    <w:rsid w:val="00942334"/>
    <w:rsid w:val="009E2702"/>
    <w:rsid w:val="00B77D42"/>
    <w:rsid w:val="0C371EAB"/>
    <w:rsid w:val="0CFF3AC1"/>
    <w:rsid w:val="102E31C4"/>
    <w:rsid w:val="151A5400"/>
    <w:rsid w:val="1F0143C9"/>
    <w:rsid w:val="226045C6"/>
    <w:rsid w:val="23BF0880"/>
    <w:rsid w:val="2A094ECD"/>
    <w:rsid w:val="2AFE3E58"/>
    <w:rsid w:val="2CA36B2F"/>
    <w:rsid w:val="2E817D3D"/>
    <w:rsid w:val="2F4E28C2"/>
    <w:rsid w:val="301A36BC"/>
    <w:rsid w:val="32A7533F"/>
    <w:rsid w:val="34347D84"/>
    <w:rsid w:val="4AFF7B75"/>
    <w:rsid w:val="55CA1AF0"/>
    <w:rsid w:val="59E370C5"/>
    <w:rsid w:val="615B48C4"/>
    <w:rsid w:val="63CD0C52"/>
    <w:rsid w:val="6925695C"/>
    <w:rsid w:val="6D8450E6"/>
    <w:rsid w:val="79F7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标题 2 Char"/>
    <w:basedOn w:val="6"/>
    <w:link w:val="2"/>
    <w:qFormat/>
    <w:uiPriority w:val="9"/>
    <w:rPr>
      <w:rFonts w:ascii="宋体" w:hAnsi="宋体" w:eastAsia="宋体" w:cs="宋体"/>
      <w:b/>
      <w:bCs/>
      <w:kern w:val="0"/>
      <w:sz w:val="36"/>
      <w:szCs w:val="36"/>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960</Words>
  <Characters>5476</Characters>
  <Lines>45</Lines>
  <Paragraphs>12</Paragraphs>
  <TotalTime>2</TotalTime>
  <ScaleCrop>false</ScaleCrop>
  <LinksUpToDate>false</LinksUpToDate>
  <CharactersWithSpaces>6424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2021-01-21T08:06:00Z</dcterms:created>
  <dc:creator>Windows 用户</dc:creator>
  <cp:lastModifiedBy>辛芜</cp:lastModifiedBy>
  <dcterms:modified xsi:type="dcterms:W3CDTF">2022-01-13T03:27:05Z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EBF0A5980F804474B48942638B2D2848</vt:lpwstr>
  </property>
</Properties>
</file>