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安丘市医疗保障局2022年政府信息公开工作年度报告</w:t>
      </w:r>
    </w:p>
    <w:p>
      <w:pPr>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本报告根据《中华人民共和国政府信息公开条例》（国务院令第711号，以下简称《条例》）《国务院办公厅政府信息与政务公开办公室关于印发中华人民共和国政府信息公开工作年度报告格式的通知</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国办公开办函〔2021〕30号</w:t>
      </w:r>
      <w:r>
        <w:rPr>
          <w:rFonts w:hint="eastAsia" w:ascii="仿宋_GB2312" w:hAnsi="仿宋_GB2312" w:eastAsia="仿宋_GB2312" w:cs="仿宋_GB2312"/>
          <w:sz w:val="32"/>
          <w:szCs w:val="32"/>
          <w:shd w:val="clear" w:color="auto" w:fill="FFFFFF"/>
        </w:rPr>
        <w:t>）等有关法律法规的要求编制。本报告包括六个部分内容：</w:t>
      </w:r>
      <w:r>
        <w:rPr>
          <w:rFonts w:hint="eastAsia" w:ascii="仿宋_GB2312" w:hAnsi="仿宋_GB2312" w:eastAsia="仿宋_GB2312" w:cs="仿宋_GB2312"/>
          <w:sz w:val="32"/>
          <w:szCs w:val="32"/>
        </w:rPr>
        <w:t>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一、总体情况</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2022年，安丘市医疗保障局在市委、市政府的正确领导下，学习贯彻《条例》总体内容，拓展公开广度</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深度，全面提升工作透明度、公信力。</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（一）主动公开</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1.体制机制建设情况</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是调整政务公开工作领导小组，由局长任组长亲手抓，设政务公开领导小组办公室，负责日常工作信息收集、上传，确保正常运转、适时更新。二是制定印发《安丘市医疗保障局2022年政务公开重点工作任务分工》，明确职责分工、完成时限。</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2.主动公开信息情况</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是通过政府门户网站政务公开专栏主动发布信息83条，较2021年减少8条。其中，组织机构信息4条，包括机关职能、机构设置、办公时间地址、联系方式等内容；政策文件2条，包括医保政策、政策解读等；工作信息38条；行政执法信息7条；财政预决算信息5条，包括2021年决算、2022年预算等；重大决策执行信息9条；医保重点领域信息14条；其它类型信息4条。二是通过“安丘医疗保障”微信公众号发布推送信息84条，较2021年减少96条，包括医保政策、医保动态、健康知识等。</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3.解读回应关切</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2022年发布医保政策解读信息1条，通俗易懂解释医保政策</w:t>
      </w:r>
      <w:r>
        <w:rPr>
          <w:rFonts w:hint="eastAsia" w:ascii="仿宋_GB2312" w:hAnsi="仿宋_GB2312" w:eastAsia="仿宋_GB2312" w:cs="仿宋_GB2312"/>
          <w:sz w:val="32"/>
          <w:szCs w:val="32"/>
          <w:shd w:val="clear" w:color="auto" w:fill="FFFFFF"/>
          <w:lang w:eastAsia="zh-CN"/>
        </w:rPr>
        <w:t>；</w:t>
      </w:r>
      <w:r>
        <w:rPr>
          <w:rFonts w:hint="eastAsia" w:ascii="仿宋_GB2312" w:hAnsi="宋体" w:eastAsia="仿宋_GB2312" w:cs="仿宋_GB2312"/>
          <w:sz w:val="32"/>
          <w:szCs w:val="32"/>
        </w:rPr>
        <w:t>通过网络问政、市长信箱等渠道解答</w:t>
      </w:r>
      <w:r>
        <w:rPr>
          <w:rFonts w:ascii="仿宋_GB2312" w:hAnsi="宋体" w:eastAsia="仿宋_GB2312" w:cs="仿宋_GB2312"/>
          <w:sz w:val="32"/>
          <w:szCs w:val="32"/>
        </w:rPr>
        <w:t>群众留言</w:t>
      </w:r>
      <w:r>
        <w:rPr>
          <w:rFonts w:hint="eastAsia" w:ascii="仿宋_GB2312" w:hAnsi="宋体" w:eastAsia="仿宋_GB2312" w:cs="仿宋_GB2312"/>
          <w:sz w:val="32"/>
          <w:szCs w:val="32"/>
        </w:rPr>
        <w:t>3条</w:t>
      </w:r>
      <w:r>
        <w:rPr>
          <w:rFonts w:hint="eastAsia" w:ascii="仿宋_GB2312" w:hAnsi="仿宋_GB2312" w:eastAsia="仿宋_GB2312" w:cs="仿宋_GB2312"/>
          <w:sz w:val="32"/>
          <w:szCs w:val="32"/>
          <w:shd w:val="clear" w:color="auto" w:fill="FFFFFF"/>
        </w:rPr>
        <w:t>，及时解决群众</w:t>
      </w:r>
      <w:r>
        <w:rPr>
          <w:rFonts w:hint="eastAsia" w:ascii="仿宋_GB2312" w:hAnsi="仿宋_GB2312" w:eastAsia="仿宋_GB2312" w:cs="仿宋_GB2312"/>
          <w:sz w:val="32"/>
          <w:szCs w:val="32"/>
          <w:shd w:val="clear" w:color="auto" w:fill="FFFFFF"/>
          <w:lang w:val="en-US" w:eastAsia="zh-CN"/>
        </w:rPr>
        <w:t>问题</w:t>
      </w:r>
      <w:r>
        <w:rPr>
          <w:rFonts w:hint="eastAsia" w:ascii="仿宋_GB2312" w:hAnsi="仿宋_GB2312" w:eastAsia="仿宋_GB2312" w:cs="仿宋_GB2312"/>
          <w:sz w:val="32"/>
          <w:szCs w:val="32"/>
          <w:shd w:val="clear" w:color="auto" w:fill="FFFFFF"/>
        </w:rPr>
        <w:t>关切。</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 xml:space="preserve">（二）依申请公开 </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专人负责依申请公开相关办理，做好</w:t>
      </w:r>
      <w:r>
        <w:rPr>
          <w:rFonts w:hint="eastAsia" w:ascii="仿宋_GB2312" w:hAnsi="宋体" w:eastAsia="仿宋_GB2312" w:cs="仿宋_GB2312"/>
          <w:sz w:val="32"/>
          <w:szCs w:val="32"/>
          <w:lang w:val="en-US" w:eastAsia="zh-CN"/>
        </w:rPr>
        <w:t>信息</w:t>
      </w:r>
      <w:r>
        <w:rPr>
          <w:rFonts w:hint="eastAsia" w:ascii="仿宋_GB2312" w:hAnsi="宋体" w:eastAsia="仿宋_GB2312" w:cs="仿宋_GB2312"/>
          <w:sz w:val="32"/>
          <w:szCs w:val="32"/>
        </w:rPr>
        <w:t>接收、登记、办理、存档</w:t>
      </w:r>
      <w:r>
        <w:rPr>
          <w:rFonts w:hint="eastAsia" w:ascii="仿宋_GB2312" w:hAnsi="宋体" w:eastAsia="仿宋_GB2312" w:cs="仿宋_GB2312"/>
          <w:sz w:val="32"/>
          <w:szCs w:val="32"/>
          <w:lang w:val="en-US" w:eastAsia="zh-CN"/>
        </w:rPr>
        <w:t>等</w:t>
      </w:r>
      <w:r>
        <w:rPr>
          <w:rFonts w:hint="eastAsia" w:ascii="仿宋_GB2312" w:hAnsi="宋体" w:eastAsia="仿宋_GB2312" w:cs="仿宋_GB2312"/>
          <w:sz w:val="32"/>
          <w:szCs w:val="32"/>
        </w:rPr>
        <w:t>工作，畅通在线申请渠道，提升政</w:t>
      </w:r>
      <w:r>
        <w:rPr>
          <w:rFonts w:hint="eastAsia" w:ascii="仿宋_GB2312" w:hAnsi="宋体" w:eastAsia="仿宋_GB2312" w:cs="仿宋_GB2312"/>
          <w:sz w:val="32"/>
          <w:szCs w:val="32"/>
          <w:lang w:val="en-US" w:eastAsia="zh-CN"/>
        </w:rPr>
        <w:t>务</w:t>
      </w:r>
      <w:r>
        <w:rPr>
          <w:rFonts w:hint="eastAsia" w:ascii="仿宋_GB2312" w:hAnsi="宋体" w:eastAsia="仿宋_GB2312" w:cs="仿宋_GB2312"/>
          <w:sz w:val="32"/>
          <w:szCs w:val="32"/>
        </w:rPr>
        <w:t>公开申请办理质效。2022年</w:t>
      </w:r>
      <w:r>
        <w:rPr>
          <w:rFonts w:hint="eastAsia" w:ascii="仿宋_GB2312" w:hAnsi="宋体" w:eastAsia="仿宋_GB2312" w:cs="仿宋_GB2312"/>
          <w:sz w:val="32"/>
          <w:szCs w:val="32"/>
          <w:lang w:val="en-US" w:eastAsia="zh-CN"/>
        </w:rPr>
        <w:t>我</w:t>
      </w:r>
      <w:r>
        <w:rPr>
          <w:rFonts w:hint="eastAsia" w:ascii="仿宋_GB2312" w:hAnsi="宋体" w:eastAsia="仿宋_GB2312" w:cs="仿宋_GB2312"/>
          <w:sz w:val="32"/>
          <w:szCs w:val="32"/>
        </w:rPr>
        <w:t>局未收到</w:t>
      </w:r>
      <w:r>
        <w:rPr>
          <w:rFonts w:hint="eastAsia" w:ascii="仿宋_GB2312" w:hAnsi="宋体" w:eastAsia="仿宋_GB2312" w:cs="仿宋_GB2312"/>
          <w:sz w:val="32"/>
          <w:szCs w:val="32"/>
          <w:lang w:val="en-US" w:eastAsia="zh-CN"/>
        </w:rPr>
        <w:t>政务信息</w:t>
      </w:r>
      <w:r>
        <w:rPr>
          <w:rFonts w:hint="eastAsia" w:ascii="仿宋_GB2312" w:hAnsi="宋体" w:eastAsia="仿宋_GB2312" w:cs="仿宋_GB2312"/>
          <w:sz w:val="32"/>
          <w:szCs w:val="32"/>
        </w:rPr>
        <w:t>公开申请，较2021年持平。未因政府信息公开被申请行政复议，未被提起行政诉讼</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政务公开申请不收取费用。</w:t>
      </w:r>
    </w:p>
    <w:p>
      <w:pPr>
        <w:pStyle w:val="2"/>
        <w:ind w:firstLine="0" w:firstLineChars="0"/>
        <w:jc w:val="center"/>
      </w:pPr>
      <w:r>
        <w:drawing>
          <wp:anchor distT="0" distB="0" distL="114300" distR="114300" simplePos="0" relativeHeight="251659264" behindDoc="1" locked="0" layoutInCell="1" allowOverlap="1">
            <wp:simplePos x="0" y="0"/>
            <wp:positionH relativeFrom="column">
              <wp:posOffset>187325</wp:posOffset>
            </wp:positionH>
            <wp:positionV relativeFrom="paragraph">
              <wp:posOffset>56515</wp:posOffset>
            </wp:positionV>
            <wp:extent cx="5172075" cy="1991360"/>
            <wp:effectExtent l="4445" t="4445" r="5080" b="23495"/>
            <wp:wrapTight wrapText="bothSides">
              <wp:wrapPolygon>
                <wp:start x="-19" y="-48"/>
                <wp:lineTo x="-19" y="21442"/>
                <wp:lineTo x="21542" y="21442"/>
                <wp:lineTo x="21542" y="-48"/>
                <wp:lineTo x="-19" y="-48"/>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numPr>
          <w:ilvl w:val="0"/>
          <w:numId w:val="1"/>
        </w:numPr>
        <w:spacing w:line="560" w:lineRule="exact"/>
        <w:ind w:firstLine="640" w:firstLineChars="200"/>
        <w:rPr>
          <w:rFonts w:hint="eastAsia"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政府信息管理</w:t>
      </w:r>
    </w:p>
    <w:p>
      <w:pPr>
        <w:numPr>
          <w:ilvl w:val="0"/>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严格落实政务信息动态调整机制，</w:t>
      </w:r>
      <w:r>
        <w:rPr>
          <w:rFonts w:hint="eastAsia" w:ascii="仿宋_GB2312" w:hAnsi="仿宋_GB2312" w:eastAsia="仿宋_GB2312" w:cs="仿宋_GB2312"/>
          <w:sz w:val="32"/>
          <w:szCs w:val="32"/>
        </w:rPr>
        <w:t>将政府信息公开与医保工作结合，明确</w:t>
      </w:r>
      <w:r>
        <w:rPr>
          <w:rFonts w:hint="eastAsia" w:ascii="仿宋_GB2312" w:hAnsi="仿宋_GB2312" w:eastAsia="仿宋_GB2312" w:cs="仿宋_GB2312"/>
          <w:sz w:val="32"/>
          <w:szCs w:val="32"/>
          <w:lang w:val="en-US" w:eastAsia="zh-CN"/>
        </w:rPr>
        <w:t>责任人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各科室</w:t>
      </w:r>
      <w:r>
        <w:rPr>
          <w:rFonts w:hint="eastAsia" w:ascii="仿宋_GB2312" w:hAnsi="仿宋_GB2312" w:eastAsia="仿宋_GB2312" w:cs="仿宋_GB2312"/>
          <w:sz w:val="32"/>
          <w:szCs w:val="32"/>
        </w:rPr>
        <w:t>协调配合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确保工作落实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加强政府信息主动公开目录建设、制定落实我局《政府信息全生命周期管理制度》《政府信息公开保密审查制度》，严格</w:t>
      </w:r>
      <w:r>
        <w:rPr>
          <w:rFonts w:hint="eastAsia" w:ascii="仿宋_GB2312" w:hAnsi="仿宋_GB2312" w:eastAsia="仿宋_GB2312" w:cs="仿宋_GB2312"/>
          <w:sz w:val="32"/>
          <w:szCs w:val="32"/>
        </w:rPr>
        <w:t>按照《条例》规定理顺工作机制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提高政务公开时效性。</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（四）政府信息公开平台建设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完善并实时更新我局政府门户网站公开信息，通过政府门户网站和“安丘医疗保障”微信公众号等政务新媒体发布各类政策信息，方便公众查询获取医保动态信息，不断提升工作透明度。</w:t>
      </w:r>
    </w:p>
    <w:p>
      <w:pPr>
        <w:spacing w:line="560" w:lineRule="exact"/>
        <w:ind w:firstLine="640" w:firstLineChars="200"/>
        <w:rPr>
          <w:rFonts w:ascii="楷体_GB2312" w:hAnsi="楷体_GB2312" w:eastAsia="楷体_GB2312" w:cs="楷体_GB2312"/>
          <w:sz w:val="32"/>
          <w:szCs w:val="32"/>
          <w:shd w:val="clear" w:color="auto" w:fill="FFFFFF"/>
        </w:rPr>
      </w:pPr>
      <w:r>
        <w:rPr>
          <w:rFonts w:hint="eastAsia" w:ascii="楷体_GB2312" w:hAnsi="楷体_GB2312" w:eastAsia="楷体_GB2312" w:cs="楷体_GB2312"/>
          <w:sz w:val="32"/>
          <w:szCs w:val="32"/>
          <w:shd w:val="clear" w:color="auto" w:fill="FFFFFF"/>
        </w:rPr>
        <w:t>（五）监督保障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由</w:t>
      </w:r>
      <w:r>
        <w:rPr>
          <w:rFonts w:hint="eastAsia" w:ascii="仿宋_GB2312" w:hAnsi="仿宋_GB2312" w:eastAsia="仿宋_GB2312" w:cs="仿宋_GB2312"/>
          <w:sz w:val="32"/>
          <w:szCs w:val="32"/>
          <w:shd w:val="clear" w:color="auto" w:fill="FFFFFF"/>
        </w:rPr>
        <w:t>政务公开工作领导小组</w:t>
      </w:r>
      <w:r>
        <w:rPr>
          <w:rFonts w:hint="eastAsia" w:ascii="仿宋_GB2312" w:hAnsi="仿宋_GB2312" w:eastAsia="仿宋_GB2312" w:cs="仿宋_GB2312"/>
          <w:sz w:val="32"/>
          <w:szCs w:val="32"/>
          <w:shd w:val="clear" w:color="auto" w:fill="FFFFFF"/>
          <w:lang w:val="en-US" w:eastAsia="zh-CN"/>
        </w:rPr>
        <w:t>负责监督工作</w:t>
      </w:r>
      <w:r>
        <w:rPr>
          <w:rFonts w:hint="eastAsia" w:ascii="仿宋_GB2312" w:hAnsi="仿宋_GB2312" w:eastAsia="仿宋_GB2312" w:cs="仿宋_GB2312"/>
          <w:sz w:val="32"/>
          <w:szCs w:val="32"/>
          <w:shd w:val="clear" w:color="auto" w:fill="FFFFFF"/>
        </w:rPr>
        <w:t>，政务公开领导小组办公室</w:t>
      </w:r>
      <w:r>
        <w:rPr>
          <w:rFonts w:hint="eastAsia" w:ascii="仿宋_GB2312" w:hAnsi="仿宋_GB2312" w:eastAsia="仿宋_GB2312" w:cs="仿宋_GB2312"/>
          <w:sz w:val="32"/>
          <w:szCs w:val="32"/>
          <w:shd w:val="clear" w:color="auto" w:fill="FFFFFF"/>
          <w:lang w:val="en-US" w:eastAsia="zh-CN"/>
        </w:rPr>
        <w:t>具体负责</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定期、不定期自我检查，推动政务公开工作质量不断提高。</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围绕政务公开工作重点，</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val="en-US" w:eastAsia="zh-CN"/>
        </w:rPr>
        <w:t>专题</w:t>
      </w:r>
      <w:r>
        <w:rPr>
          <w:rFonts w:hint="eastAsia" w:ascii="仿宋_GB2312" w:hAnsi="仿宋_GB2312" w:eastAsia="仿宋_GB2312" w:cs="仿宋_GB2312"/>
          <w:sz w:val="32"/>
          <w:szCs w:val="32"/>
        </w:rPr>
        <w:t>培训</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次，培训20余人次，不断强化对各科室和政务公开具体责任人的业务指导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加大对政务公开工作的</w:t>
      </w:r>
      <w:r>
        <w:rPr>
          <w:rFonts w:hint="eastAsia" w:ascii="仿宋_GB2312" w:hAnsi="仿宋_GB2312" w:eastAsia="仿宋_GB2312" w:cs="仿宋_GB2312"/>
          <w:sz w:val="32"/>
          <w:szCs w:val="32"/>
          <w:lang w:val="en-US" w:eastAsia="zh-CN"/>
        </w:rPr>
        <w:t>支持力度，保障工作人员与经费充足。</w:t>
      </w:r>
    </w:p>
    <w:p>
      <w:pPr>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二、主动公开政府信息情况</w:t>
      </w:r>
    </w:p>
    <w:tbl>
      <w:tblPr>
        <w:tblStyle w:val="8"/>
        <w:tblW w:w="9040" w:type="dxa"/>
        <w:jc w:val="center"/>
        <w:tblLayout w:type="autofit"/>
        <w:tblCellMar>
          <w:top w:w="0" w:type="dxa"/>
          <w:left w:w="0" w:type="dxa"/>
          <w:bottom w:w="0" w:type="dxa"/>
          <w:right w:w="0" w:type="dxa"/>
        </w:tblCellMar>
      </w:tblPr>
      <w:tblGrid>
        <w:gridCol w:w="2260"/>
        <w:gridCol w:w="2260"/>
        <w:gridCol w:w="2260"/>
        <w:gridCol w:w="2260"/>
      </w:tblGrid>
      <w:tr>
        <w:tblPrEx>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cs="宋体"/>
                <w:kern w:val="0"/>
                <w:sz w:val="20"/>
                <w:szCs w:val="20"/>
                <w:lang w:bidi="ar"/>
              </w:rPr>
              <w:t>第二十条第（一）项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信息内容</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本年制发件数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本年废止件数</w:t>
            </w:r>
          </w:p>
        </w:tc>
        <w:tc>
          <w:tcPr>
            <w:tcW w:w="2260"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现行有效件数</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规章</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行政规范性文件</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0</w:t>
            </w:r>
          </w:p>
        </w:tc>
        <w:tc>
          <w:tcPr>
            <w:tcW w:w="2260"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Cs w:val="21"/>
                <w:lang w:bidi="ar"/>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cs="宋体"/>
                <w:kern w:val="0"/>
                <w:sz w:val="20"/>
                <w:szCs w:val="20"/>
                <w:lang w:bidi="ar"/>
              </w:rPr>
              <w:t>第二十条第（五）项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信息内容</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行政许可</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cs="宋体"/>
                <w:kern w:val="0"/>
                <w:sz w:val="20"/>
                <w:szCs w:val="20"/>
                <w:lang w:bidi="ar"/>
              </w:rPr>
              <w:t>第二十条第（六）项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信息内容</w:t>
            </w:r>
          </w:p>
        </w:tc>
        <w:tc>
          <w:tcPr>
            <w:tcW w:w="6780"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本年处理决定数量</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行政处罚</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3</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行政强制</w:t>
            </w:r>
          </w:p>
        </w:tc>
        <w:tc>
          <w:tcPr>
            <w:tcW w:w="6780"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pPr>
            <w:r>
              <w:rPr>
                <w:rFonts w:hint="eastAsia" w:ascii="宋体" w:hAnsi="宋体" w:cs="宋体"/>
                <w:kern w:val="0"/>
                <w:sz w:val="20"/>
                <w:szCs w:val="20"/>
                <w:lang w:bidi="ar"/>
              </w:rPr>
              <w:t>第二十条第（八）项</w:t>
            </w:r>
          </w:p>
        </w:tc>
      </w:tr>
      <w:tr>
        <w:tblPrEx>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信息内容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pPr>
            <w:r>
              <w:rPr>
                <w:rFonts w:hint="eastAsia" w:ascii="宋体" w:hAnsi="宋体" w:cs="宋体"/>
                <w:kern w:val="0"/>
                <w:sz w:val="20"/>
                <w:szCs w:val="20"/>
                <w:lang w:bidi="ar"/>
              </w:rPr>
              <w:t>本年收费金额（单位：万元）</w:t>
            </w:r>
          </w:p>
        </w:tc>
      </w:tr>
      <w:tr>
        <w:tblPrEx>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行政事业性收费</w:t>
            </w:r>
          </w:p>
        </w:tc>
        <w:tc>
          <w:tcPr>
            <w:tcW w:w="6780"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4"/>
              </w:rPr>
            </w:pPr>
            <w:r>
              <w:rPr>
                <w:rFonts w:hint="eastAsia"/>
              </w:rPr>
              <w:t>0</w:t>
            </w:r>
          </w:p>
        </w:tc>
      </w:tr>
    </w:tbl>
    <w:p>
      <w:pPr>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cs="Calibri"/>
                <w:kern w:val="0"/>
                <w:sz w:val="20"/>
                <w:szCs w:val="20"/>
                <w:lang w:bidi="ar"/>
              </w:rPr>
            </w:pPr>
          </w:p>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jc w:val="center"/>
              <w:rPr>
                <w:rFonts w:ascii="宋体"/>
                <w:sz w:val="24"/>
              </w:rPr>
            </w:pPr>
            <w:r>
              <w:rPr>
                <w:rFonts w:hint="eastAsia" w:cs="Calibri"/>
                <w:kern w:val="0"/>
                <w:sz w:val="20"/>
                <w:szCs w:val="20"/>
                <w:lang w:bidi="ar"/>
              </w:rPr>
              <w:t>0</w:t>
            </w:r>
          </w:p>
        </w:tc>
      </w:tr>
    </w:tbl>
    <w:p>
      <w:pPr>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sz w:val="24"/>
              </w:rPr>
            </w:pPr>
            <w:r>
              <w:rPr>
                <w:rFonts w:hint="eastAsia"/>
              </w:rPr>
              <w:t>0</w:t>
            </w:r>
          </w:p>
        </w:tc>
      </w:tr>
    </w:tbl>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黑体" w:hAnsi="黑体" w:eastAsia="黑体" w:cs="黑体"/>
          <w:sz w:val="32"/>
          <w:szCs w:val="32"/>
          <w:shd w:val="clear" w:color="auto" w:fill="FFFFFF"/>
        </w:rPr>
        <w:t>五、存在的主要问题及改进情况</w:t>
      </w:r>
    </w:p>
    <w:p>
      <w:pPr>
        <w:pStyle w:val="2"/>
        <w:adjustRightInd w:val="0"/>
        <w:snapToGrid w:val="0"/>
        <w:spacing w:line="560" w:lineRule="exact"/>
        <w:ind w:firstLine="640"/>
        <w:rPr>
          <w:rFonts w:ascii="楷体" w:hAnsi="楷体" w:eastAsia="楷体" w:cs="楷体"/>
          <w:sz w:val="32"/>
          <w:szCs w:val="32"/>
        </w:rPr>
      </w:pPr>
      <w:r>
        <w:rPr>
          <w:rFonts w:hint="eastAsia" w:ascii="楷体" w:hAnsi="楷体" w:eastAsia="楷体" w:cs="楷体"/>
          <w:sz w:val="32"/>
          <w:szCs w:val="32"/>
        </w:rPr>
        <w:t>（一）2021年问题整改情况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一是加强组织领导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局政务公开工作领导小组统一梳理我局政务公开工作目标任务和主动公开信息目录等，根据各业务科室职责，明确信息报送的具体任务和时限，明确具体责任科室和责任人。政务公开具体负责同志保障政务信息流转畅通，及时公开。</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规范政务信息内容。认真学习《条例》和政务公开相关要求梳理归纳了最新信息发布标准和要求，定期举办政务信息培训专题会议，提高各科室信息的质量；同时，各科室轮流参练进一步提升了信息内容规范性、时效性。</w:t>
      </w:r>
    </w:p>
    <w:p>
      <w:pPr>
        <w:pStyle w:val="2"/>
        <w:adjustRightInd w:val="0"/>
        <w:snapToGrid w:val="0"/>
        <w:spacing w:line="560" w:lineRule="exact"/>
        <w:ind w:firstLine="640"/>
        <w:rPr>
          <w:rFonts w:ascii="楷体" w:hAnsi="楷体" w:eastAsia="楷体" w:cs="楷体"/>
          <w:sz w:val="32"/>
          <w:szCs w:val="32"/>
        </w:rPr>
      </w:pPr>
      <w:r>
        <w:rPr>
          <w:rFonts w:hint="eastAsia" w:ascii="楷体" w:hAnsi="楷体" w:eastAsia="楷体" w:cs="楷体"/>
          <w:sz w:val="32"/>
          <w:szCs w:val="32"/>
        </w:rPr>
        <w:t>（二）2022年存在的主要问题及改进情况</w:t>
      </w:r>
    </w:p>
    <w:p>
      <w:pPr>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主要问题：</w:t>
      </w:r>
      <w:r>
        <w:rPr>
          <w:rFonts w:ascii="仿宋_GB2312" w:hAnsi="Times New Roman" w:eastAsia="仿宋_GB2312" w:cs="仿宋_GB2312"/>
          <w:color w:val="000000"/>
          <w:sz w:val="31"/>
          <w:szCs w:val="31"/>
        </w:rPr>
        <w:t>一是对政务公开</w:t>
      </w:r>
      <w:r>
        <w:rPr>
          <w:rFonts w:hint="eastAsia" w:ascii="仿宋_GB2312" w:hAnsi="Times New Roman" w:eastAsia="仿宋_GB2312" w:cs="仿宋_GB2312"/>
          <w:color w:val="000000"/>
          <w:sz w:val="31"/>
          <w:szCs w:val="31"/>
        </w:rPr>
        <w:t>工作落实</w:t>
      </w:r>
      <w:r>
        <w:rPr>
          <w:rFonts w:ascii="仿宋_GB2312" w:hAnsi="Times New Roman" w:eastAsia="仿宋_GB2312" w:cs="仿宋_GB2312"/>
          <w:color w:val="000000"/>
          <w:sz w:val="31"/>
          <w:szCs w:val="31"/>
        </w:rPr>
        <w:t>不到位</w:t>
      </w:r>
      <w:r>
        <w:rPr>
          <w:rFonts w:hint="eastAsia" w:ascii="仿宋_GB2312" w:hAnsi="Times New Roman" w:eastAsia="仿宋_GB2312" w:cs="仿宋_GB2312"/>
          <w:color w:val="000000"/>
          <w:sz w:val="31"/>
          <w:szCs w:val="31"/>
        </w:rPr>
        <w:t>，</w:t>
      </w:r>
      <w:r>
        <w:rPr>
          <w:rFonts w:ascii="仿宋_GB2312" w:hAnsi="Times New Roman" w:eastAsia="仿宋_GB2312" w:cs="仿宋_GB2312"/>
          <w:color w:val="000000"/>
          <w:sz w:val="31"/>
          <w:szCs w:val="31"/>
        </w:rPr>
        <w:t>内容单一，数量不够，</w:t>
      </w:r>
      <w:r>
        <w:rPr>
          <w:rFonts w:hint="eastAsia" w:ascii="仿宋_GB2312" w:hAnsi="Times New Roman" w:eastAsia="仿宋_GB2312" w:cs="仿宋_GB2312"/>
          <w:color w:val="000000"/>
          <w:sz w:val="31"/>
          <w:szCs w:val="31"/>
        </w:rPr>
        <w:t>特别是</w:t>
      </w:r>
      <w:r>
        <w:rPr>
          <w:rFonts w:ascii="仿宋_GB2312" w:hAnsi="Times New Roman" w:eastAsia="仿宋_GB2312" w:cs="仿宋_GB2312"/>
          <w:color w:val="000000"/>
          <w:sz w:val="31"/>
          <w:szCs w:val="31"/>
        </w:rPr>
        <w:t>涉及群众切身利益的民生领域信息发布不全、信息量偏少；二是政务公开需要进一步服务营商环境优化，提升政务公开和政务服务相结合的水平；三是依申请公开的办理能力还需进一步提高。</w:t>
      </w:r>
    </w:p>
    <w:p>
      <w:pPr>
        <w:adjustRightInd w:val="0"/>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改进情况：</w:t>
      </w:r>
      <w:r>
        <w:rPr>
          <w:rFonts w:hint="eastAsia" w:ascii="仿宋_GB2312" w:hAnsi="Times New Roman" w:eastAsia="仿宋_GB2312" w:cs="仿宋_GB2312"/>
          <w:color w:val="000000"/>
          <w:sz w:val="31"/>
          <w:szCs w:val="31"/>
        </w:rPr>
        <w:t>一是深化主动公开工作，</w:t>
      </w:r>
      <w:r>
        <w:rPr>
          <w:rFonts w:hint="eastAsia" w:ascii="仿宋_GB2312" w:hAnsi="仿宋_GB2312" w:eastAsia="仿宋_GB2312" w:cs="仿宋_GB2312"/>
          <w:sz w:val="32"/>
          <w:szCs w:val="32"/>
        </w:rPr>
        <w:t>加强政务公开学习培训。通过组织召开局党组（扩大）会议、全体干部职工会议、专题培训、交流研讨会等方式，提高全局上下对政务公开工作重要性的认识，提升政务公开工作能力与水平</w:t>
      </w:r>
      <w:r>
        <w:rPr>
          <w:rFonts w:hint="eastAsia" w:ascii="仿宋_GB2312" w:hAnsi="微软雅黑" w:eastAsia="仿宋_GB2312" w:cs="仿宋_GB2312"/>
          <w:color w:val="000000"/>
          <w:sz w:val="31"/>
          <w:szCs w:val="31"/>
        </w:rPr>
        <w:t>；</w:t>
      </w:r>
      <w:r>
        <w:rPr>
          <w:rFonts w:hint="eastAsia" w:ascii="仿宋_GB2312" w:hAnsi="Times New Roman" w:eastAsia="仿宋_GB2312" w:cs="仿宋_GB2312"/>
          <w:color w:val="000000"/>
          <w:sz w:val="31"/>
          <w:szCs w:val="31"/>
        </w:rPr>
        <w:t>二是加大政府网站与政企服务平台、政务大数据平台等的互联互通，进一步推进技术创新、数据赋能、服务直达的精准公开和服务，优化营商环境建设；三是规范依申请公开工作。</w:t>
      </w:r>
      <w:r>
        <w:rPr>
          <w:rFonts w:hint="eastAsia" w:ascii="仿宋_GB2312" w:hAnsi="仿宋_GB2312" w:eastAsia="仿宋_GB2312" w:cs="仿宋_GB2312"/>
          <w:sz w:val="32"/>
          <w:szCs w:val="32"/>
        </w:rPr>
        <w:t>切实</w:t>
      </w:r>
      <w:r>
        <w:rPr>
          <w:rFonts w:hint="eastAsia" w:ascii="仿宋_GB2312" w:hAnsi="Times New Roman" w:eastAsia="仿宋_GB2312" w:cs="仿宋_GB2312"/>
          <w:color w:val="000000"/>
          <w:sz w:val="31"/>
          <w:szCs w:val="31"/>
        </w:rPr>
        <w:t>抓住当前数字化改革整合共享有利契机，加强信息联动，深入推进政务公开，定时督促各科室提报需公开信息，保证公开的数量质量。</w:t>
      </w:r>
      <w:r>
        <w:rPr>
          <w:rFonts w:hint="eastAsia" w:ascii="仿宋_GB2312" w:hAnsi="微软雅黑" w:eastAsia="仿宋_GB2312" w:cs="仿宋_GB2312"/>
          <w:color w:val="000000"/>
          <w:sz w:val="31"/>
          <w:szCs w:val="31"/>
        </w:rPr>
        <w:t>加强</w:t>
      </w:r>
      <w:r>
        <w:rPr>
          <w:rFonts w:hint="eastAsia" w:ascii="仿宋_GB2312" w:hAnsi="Times New Roman" w:eastAsia="仿宋_GB2312" w:cs="仿宋_GB2312"/>
          <w:color w:val="000000"/>
          <w:sz w:val="31"/>
          <w:szCs w:val="31"/>
        </w:rPr>
        <w:t>依申请公开工作的主动性、积极性，加快办理答复速度，审慎做好答复，避免诉讼风险。</w:t>
      </w:r>
    </w:p>
    <w:p>
      <w:pPr>
        <w:spacing w:line="560" w:lineRule="exact"/>
        <w:ind w:firstLine="640" w:firstLineChars="20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六、其他需要报告的事项</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（一）收取信息处理费情况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2022年度未收取政府信息公开信息处理费，包括：检索费、复制费（含案卷材料复制费）、邮寄费。</w:t>
      </w:r>
    </w:p>
    <w:p>
      <w:pPr>
        <w:spacing w:line="560" w:lineRule="exact"/>
        <w:ind w:firstLine="640" w:firstLineChars="200"/>
      </w:pPr>
      <w:r>
        <w:rPr>
          <w:rFonts w:hint="eastAsia" w:ascii="楷体_GB2312" w:hAnsi="楷体_GB2312" w:eastAsia="楷体_GB2312" w:cs="楷体_GB2312"/>
          <w:kern w:val="0"/>
          <w:sz w:val="32"/>
          <w:szCs w:val="32"/>
          <w:lang w:bidi="ar"/>
        </w:rPr>
        <w:t>（二）落实安丘市2022年度政务公开工作要点情况</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按照《安丘市医疗保障局2022年政务公开重点工作任务分工》和《安丘市医疗保障局2022年信息主动公开基本目录》文件要求，主动、及时、规范做好政府门户网站和政务新媒体信息发布，全年在政府门户网站和“安丘医疗保障”等政务新媒体上及时发布各类政务信息，及时宣传最新医保政策，定期公布最新保障信息等。</w:t>
      </w:r>
    </w:p>
    <w:p>
      <w:pPr>
        <w:adjustRightInd w:val="0"/>
        <w:snapToGrid w:val="0"/>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（三）人大代表建议和政协委员提案办理公开情况</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2022年，安丘市医疗保障局未收到人大代表建议和政协委员提案，较2021年持平。</w:t>
      </w:r>
    </w:p>
    <w:p>
      <w:pPr>
        <w:spacing w:line="560" w:lineRule="exact"/>
        <w:ind w:firstLine="640" w:firstLineChars="200"/>
        <w:rPr>
          <w:rFonts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（四）安丘市医疗保障局2022年度政务公开工作创新情况</w:t>
      </w:r>
    </w:p>
    <w:p>
      <w:pPr>
        <w:pStyle w:val="2"/>
        <w:ind w:firstLine="64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2022年我局积极打造“百姓事当自家事办”的医保经办服务品牌，深入推进“一次办好”改革，打造“老百姓省事的医保”；逐步加强医保“服务网络”建设，打造“老百姓身边的医保”；着力解决群众“急难愁盼”，打造“老百姓叫好的医保”。</w:t>
      </w:r>
    </w:p>
    <w:p>
      <w:pPr>
        <w:spacing w:line="560" w:lineRule="exact"/>
        <w:ind w:firstLine="640" w:firstLineChars="200"/>
        <w:rPr>
          <w:rFonts w:ascii="楷体_GB2312" w:hAnsi="楷体_GB2312" w:eastAsia="楷体_GB2312" w:cs="楷体_GB2312"/>
          <w:kern w:val="0"/>
          <w:sz w:val="32"/>
          <w:szCs w:val="32"/>
          <w:lang w:bidi="ar"/>
        </w:rPr>
      </w:pPr>
      <w:r>
        <w:rPr>
          <w:rFonts w:hint="eastAsia" w:ascii="楷体_GB2312" w:hAnsi="楷体_GB2312" w:eastAsia="楷体_GB2312" w:cs="楷体_GB2312"/>
          <w:kern w:val="0"/>
          <w:sz w:val="32"/>
          <w:szCs w:val="32"/>
          <w:lang w:bidi="ar"/>
        </w:rPr>
        <w:t>（五）安丘市医疗保障局2022年度政府信息公开工作年度报告数据统计需要说明的事项</w:t>
      </w:r>
    </w:p>
    <w:p>
      <w:pPr>
        <w:pStyle w:val="2"/>
        <w:ind w:firstLine="64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年度报告中所列各项数据的统计期限自2022年1月1日至2022年12月31日。本年度报告的电子版可在安丘市人民政府门户网站（http://www.anqiu.gov.cn/）下载。如对本报告有任何疑问，请与安丘市医疗保障局办公室联系（地址：山东省安丘市文汇街中段市民之家2号馆2楼201室，邮编：262100，电话：0536-2512776，传真：0536-2512776，电子邮箱：</w:t>
      </w:r>
      <w:r>
        <w:fldChar w:fldCharType="begin"/>
      </w:r>
      <w:r>
        <w:instrText xml:space="preserve"> HYPERLINK "mailto:aqszfzwgkb@wf.shandong.cn）。" </w:instrText>
      </w:r>
      <w:r>
        <w:fldChar w:fldCharType="separate"/>
      </w:r>
      <w:r>
        <w:rPr>
          <w:rFonts w:hint="eastAsia" w:ascii="仿宋_GB2312" w:hAnsi="仿宋_GB2312" w:eastAsia="仿宋_GB2312" w:cs="仿宋_GB2312"/>
          <w:sz w:val="32"/>
          <w:szCs w:val="32"/>
          <w:shd w:val="clear" w:color="auto" w:fill="FFFFFF"/>
        </w:rPr>
        <w:t>aqsylbzjbgs@wf.shandong.cn）。</w:t>
      </w:r>
      <w:r>
        <w:rPr>
          <w:rFonts w:hint="eastAsia" w:ascii="仿宋_GB2312" w:hAnsi="仿宋_GB2312" w:eastAsia="仿宋_GB2312" w:cs="仿宋_GB2312"/>
          <w:sz w:val="32"/>
          <w:szCs w:val="32"/>
          <w:shd w:val="clear" w:color="auto" w:fill="FFFFFF"/>
        </w:rPr>
        <w:fldChar w:fldCharType="end"/>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w:t>
      </w:r>
      <w:r>
        <w:rPr>
          <w:rFonts w:hint="eastAsia" w:ascii="楷体_GB2312" w:hAnsi="楷体_GB2312" w:eastAsia="楷体_GB2312" w:cs="楷体_GB2312"/>
          <w:kern w:val="0"/>
          <w:sz w:val="32"/>
          <w:szCs w:val="32"/>
          <w:lang w:bidi="ar"/>
        </w:rPr>
        <w:t>安丘市医疗保障局</w:t>
      </w:r>
      <w:r>
        <w:rPr>
          <w:rFonts w:hint="eastAsia" w:ascii="楷体_GB2312" w:hAnsi="楷体_GB2312" w:eastAsia="楷体_GB2312" w:cs="楷体_GB2312"/>
          <w:sz w:val="32"/>
          <w:szCs w:val="32"/>
        </w:rPr>
        <w:t>2022年度没有其他需要报告的事项。</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w:t>
      </w:r>
      <w:r>
        <w:rPr>
          <w:rFonts w:hint="eastAsia" w:ascii="楷体_GB2312" w:hAnsi="楷体_GB2312" w:eastAsia="楷体_GB2312" w:cs="楷体_GB2312"/>
          <w:kern w:val="0"/>
          <w:sz w:val="32"/>
          <w:szCs w:val="32"/>
          <w:lang w:bidi="ar"/>
        </w:rPr>
        <w:t>安丘市医疗保障局</w:t>
      </w:r>
      <w:r>
        <w:rPr>
          <w:rFonts w:hint="eastAsia" w:ascii="楷体_GB2312" w:hAnsi="楷体_GB2312" w:eastAsia="楷体_GB2312" w:cs="楷体_GB2312"/>
          <w:sz w:val="32"/>
          <w:szCs w:val="32"/>
          <w:lang w:val="en-US" w:eastAsia="zh-CN"/>
        </w:rPr>
        <w:t>2022</w:t>
      </w:r>
      <w:r>
        <w:rPr>
          <w:rFonts w:hint="eastAsia" w:ascii="楷体_GB2312" w:hAnsi="楷体_GB2312" w:eastAsia="楷体_GB2312" w:cs="楷体_GB2312"/>
          <w:sz w:val="32"/>
          <w:szCs w:val="32"/>
        </w:rPr>
        <w:t>年度没有其他有关文件专门要求通过政府信息公开工作年度报告予以报告的事项。</w:t>
      </w:r>
    </w:p>
    <w:p>
      <w:pPr>
        <w:pStyle w:val="2"/>
        <w:ind w:firstLine="640"/>
        <w:rPr>
          <w:rFonts w:ascii="仿宋_GB2312" w:hAnsi="仿宋_GB2312" w:eastAsia="仿宋_GB2312" w:cs="仿宋_GB2312"/>
          <w:sz w:val="32"/>
          <w:szCs w:val="32"/>
          <w:shd w:val="clear" w:color="auto" w:fill="FFFFFF"/>
        </w:rPr>
      </w:pPr>
    </w:p>
    <w:p>
      <w:pPr>
        <w:pStyle w:val="2"/>
        <w:ind w:firstLine="640"/>
        <w:rPr>
          <w:rFonts w:ascii="仿宋_GB2312" w:hAnsi="仿宋_GB2312" w:eastAsia="仿宋_GB2312" w:cs="仿宋_GB2312"/>
          <w:sz w:val="32"/>
          <w:szCs w:val="32"/>
          <w:shd w:val="clear" w:color="auto" w:fill="FFFFFF"/>
        </w:rPr>
      </w:pPr>
    </w:p>
    <w:p>
      <w:pPr>
        <w:pStyle w:val="2"/>
        <w:ind w:firstLine="5120" w:firstLineChars="16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安丘市医疗保障局</w:t>
      </w:r>
    </w:p>
    <w:p>
      <w:pPr>
        <w:pStyle w:val="2"/>
        <w:ind w:firstLine="640"/>
        <w:jc w:val="center"/>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2023年1月</w:t>
      </w:r>
      <w:r>
        <w:rPr>
          <w:rFonts w:hint="eastAsia" w:ascii="仿宋_GB2312" w:hAnsi="仿宋_GB2312" w:eastAsia="仿宋_GB2312" w:cs="仿宋_GB2312"/>
          <w:sz w:val="32"/>
          <w:szCs w:val="32"/>
          <w:shd w:val="clear" w:color="auto" w:fill="FFFFFF"/>
          <w:lang w:val="en-US" w:eastAsia="zh-CN"/>
        </w:rPr>
        <w:t>29</w:t>
      </w:r>
      <w:r>
        <w:rPr>
          <w:rFonts w:hint="eastAsia" w:ascii="仿宋_GB2312" w:hAnsi="仿宋_GB2312" w:eastAsia="仿宋_GB2312" w:cs="仿宋_GB2312"/>
          <w:sz w:val="32"/>
          <w:szCs w:val="32"/>
          <w:shd w:val="clear" w:color="auto" w:fill="FFFFFF"/>
        </w:rPr>
        <w:t>日</w:t>
      </w:r>
      <w:bookmarkStart w:id="0" w:name="_GoBack"/>
      <w:bookmarkEnd w:id="0"/>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3F7BD"/>
    <w:multiLevelType w:val="singleLevel"/>
    <w:tmpl w:val="E8C3F7B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MGEwYzZhZGNkMTg1YzBlYmY1ZGM4N2I3YTExYzYifQ=="/>
  </w:docVars>
  <w:rsids>
    <w:rsidRoot w:val="00CE18F8"/>
    <w:rsid w:val="0031292B"/>
    <w:rsid w:val="004B3C39"/>
    <w:rsid w:val="007729CC"/>
    <w:rsid w:val="00BA0801"/>
    <w:rsid w:val="00C50B26"/>
    <w:rsid w:val="00CE18F8"/>
    <w:rsid w:val="00D02F4C"/>
    <w:rsid w:val="00D9001A"/>
    <w:rsid w:val="01040C6B"/>
    <w:rsid w:val="02441F1E"/>
    <w:rsid w:val="02566F2F"/>
    <w:rsid w:val="02954528"/>
    <w:rsid w:val="02C10DFF"/>
    <w:rsid w:val="03E272F9"/>
    <w:rsid w:val="03EC7ADB"/>
    <w:rsid w:val="05F11A75"/>
    <w:rsid w:val="06D849E3"/>
    <w:rsid w:val="06F21F49"/>
    <w:rsid w:val="072B6555"/>
    <w:rsid w:val="07997624"/>
    <w:rsid w:val="07C5765D"/>
    <w:rsid w:val="08A52FEB"/>
    <w:rsid w:val="095F3199"/>
    <w:rsid w:val="09626321"/>
    <w:rsid w:val="09D82051"/>
    <w:rsid w:val="0A417B23"/>
    <w:rsid w:val="0A4E0973"/>
    <w:rsid w:val="0BD25EA5"/>
    <w:rsid w:val="0C450D6C"/>
    <w:rsid w:val="0C8E2094"/>
    <w:rsid w:val="0C923718"/>
    <w:rsid w:val="0CBB102F"/>
    <w:rsid w:val="0CFF53BF"/>
    <w:rsid w:val="0D662D48"/>
    <w:rsid w:val="0E082052"/>
    <w:rsid w:val="0E0D1416"/>
    <w:rsid w:val="0E3966AF"/>
    <w:rsid w:val="0E99714E"/>
    <w:rsid w:val="0F6A5FF7"/>
    <w:rsid w:val="0FBF3882"/>
    <w:rsid w:val="0FD60CF8"/>
    <w:rsid w:val="10027152"/>
    <w:rsid w:val="106766A1"/>
    <w:rsid w:val="107734BE"/>
    <w:rsid w:val="109B404E"/>
    <w:rsid w:val="10A93873"/>
    <w:rsid w:val="10E8616A"/>
    <w:rsid w:val="11904838"/>
    <w:rsid w:val="11BE79B5"/>
    <w:rsid w:val="11EB78AF"/>
    <w:rsid w:val="12505070"/>
    <w:rsid w:val="13443A11"/>
    <w:rsid w:val="13D16334"/>
    <w:rsid w:val="13E75FB2"/>
    <w:rsid w:val="13E76BAD"/>
    <w:rsid w:val="149C6C23"/>
    <w:rsid w:val="154C0FF9"/>
    <w:rsid w:val="156C2EC6"/>
    <w:rsid w:val="157D3325"/>
    <w:rsid w:val="15E62E43"/>
    <w:rsid w:val="16004104"/>
    <w:rsid w:val="1606331B"/>
    <w:rsid w:val="161A0B74"/>
    <w:rsid w:val="172A4DE7"/>
    <w:rsid w:val="173D7210"/>
    <w:rsid w:val="175207E1"/>
    <w:rsid w:val="17935CD1"/>
    <w:rsid w:val="18422604"/>
    <w:rsid w:val="185D11EC"/>
    <w:rsid w:val="19F16090"/>
    <w:rsid w:val="1A393593"/>
    <w:rsid w:val="1A776E67"/>
    <w:rsid w:val="1A930A00"/>
    <w:rsid w:val="1AD73553"/>
    <w:rsid w:val="1AEE25CF"/>
    <w:rsid w:val="1B8F5B60"/>
    <w:rsid w:val="1BA03079"/>
    <w:rsid w:val="1BFB1448"/>
    <w:rsid w:val="1CD11779"/>
    <w:rsid w:val="1CEE68B6"/>
    <w:rsid w:val="1D5A3F4C"/>
    <w:rsid w:val="1DEC54EC"/>
    <w:rsid w:val="1DFE521F"/>
    <w:rsid w:val="1E763007"/>
    <w:rsid w:val="1FD46237"/>
    <w:rsid w:val="1FD75D28"/>
    <w:rsid w:val="1FDE70B6"/>
    <w:rsid w:val="20207374"/>
    <w:rsid w:val="2067652B"/>
    <w:rsid w:val="20B717FD"/>
    <w:rsid w:val="20B90AEB"/>
    <w:rsid w:val="21F229A5"/>
    <w:rsid w:val="225B2C40"/>
    <w:rsid w:val="231E77CA"/>
    <w:rsid w:val="24280900"/>
    <w:rsid w:val="24945F95"/>
    <w:rsid w:val="256B319A"/>
    <w:rsid w:val="257007B0"/>
    <w:rsid w:val="25D55EC9"/>
    <w:rsid w:val="25E72643"/>
    <w:rsid w:val="261A2A6D"/>
    <w:rsid w:val="26BB1EFF"/>
    <w:rsid w:val="26FC7E22"/>
    <w:rsid w:val="276E2ACE"/>
    <w:rsid w:val="27814EF7"/>
    <w:rsid w:val="28497097"/>
    <w:rsid w:val="285B7316"/>
    <w:rsid w:val="293D14B6"/>
    <w:rsid w:val="295C2DFA"/>
    <w:rsid w:val="296F6FD1"/>
    <w:rsid w:val="2A075F37"/>
    <w:rsid w:val="2A21775E"/>
    <w:rsid w:val="2A495A74"/>
    <w:rsid w:val="2B2A7653"/>
    <w:rsid w:val="2BB1742D"/>
    <w:rsid w:val="2C9254B0"/>
    <w:rsid w:val="2CAE1214"/>
    <w:rsid w:val="2D7962EA"/>
    <w:rsid w:val="2D866ECD"/>
    <w:rsid w:val="2E8D66AF"/>
    <w:rsid w:val="2EB15996"/>
    <w:rsid w:val="2EBC4A66"/>
    <w:rsid w:val="2F124686"/>
    <w:rsid w:val="2F357B07"/>
    <w:rsid w:val="2F880CC7"/>
    <w:rsid w:val="2F882B9B"/>
    <w:rsid w:val="2FCE2CA3"/>
    <w:rsid w:val="2FF34BA7"/>
    <w:rsid w:val="31853836"/>
    <w:rsid w:val="31AB491E"/>
    <w:rsid w:val="31C854D0"/>
    <w:rsid w:val="320F4EAD"/>
    <w:rsid w:val="32963820"/>
    <w:rsid w:val="33884F17"/>
    <w:rsid w:val="339C09C3"/>
    <w:rsid w:val="34EE16F2"/>
    <w:rsid w:val="34FB2398"/>
    <w:rsid w:val="357D4824"/>
    <w:rsid w:val="35A63567"/>
    <w:rsid w:val="35E93C67"/>
    <w:rsid w:val="371F3DE4"/>
    <w:rsid w:val="3763325B"/>
    <w:rsid w:val="37671737"/>
    <w:rsid w:val="37704640"/>
    <w:rsid w:val="384004B6"/>
    <w:rsid w:val="385E26EA"/>
    <w:rsid w:val="389467DA"/>
    <w:rsid w:val="38A30A45"/>
    <w:rsid w:val="38C024D7"/>
    <w:rsid w:val="397F3DCC"/>
    <w:rsid w:val="39E3559D"/>
    <w:rsid w:val="3A0379ED"/>
    <w:rsid w:val="3A0D261A"/>
    <w:rsid w:val="3A1273C6"/>
    <w:rsid w:val="3A540249"/>
    <w:rsid w:val="3A63223A"/>
    <w:rsid w:val="3B5F50F7"/>
    <w:rsid w:val="3B7A3CDF"/>
    <w:rsid w:val="3B8E442A"/>
    <w:rsid w:val="3D2008B6"/>
    <w:rsid w:val="3D6D517E"/>
    <w:rsid w:val="3D762284"/>
    <w:rsid w:val="3DDF4DD6"/>
    <w:rsid w:val="3E3A7756"/>
    <w:rsid w:val="3E726EF0"/>
    <w:rsid w:val="3E810FEA"/>
    <w:rsid w:val="3FBA0B4E"/>
    <w:rsid w:val="403D5215"/>
    <w:rsid w:val="40BC4452"/>
    <w:rsid w:val="40C83D94"/>
    <w:rsid w:val="40F462E2"/>
    <w:rsid w:val="410D1152"/>
    <w:rsid w:val="41DD0B24"/>
    <w:rsid w:val="42F205FF"/>
    <w:rsid w:val="430345BA"/>
    <w:rsid w:val="43741014"/>
    <w:rsid w:val="43D30430"/>
    <w:rsid w:val="4416656F"/>
    <w:rsid w:val="44A40300"/>
    <w:rsid w:val="450B59A8"/>
    <w:rsid w:val="46976ECD"/>
    <w:rsid w:val="46987903"/>
    <w:rsid w:val="46A2058E"/>
    <w:rsid w:val="46D324F5"/>
    <w:rsid w:val="46E22739"/>
    <w:rsid w:val="47013507"/>
    <w:rsid w:val="475E2707"/>
    <w:rsid w:val="47705F96"/>
    <w:rsid w:val="47DA11B4"/>
    <w:rsid w:val="481C1C7A"/>
    <w:rsid w:val="490B41C9"/>
    <w:rsid w:val="4913307D"/>
    <w:rsid w:val="494D2A33"/>
    <w:rsid w:val="4A2A4B22"/>
    <w:rsid w:val="4AE36D27"/>
    <w:rsid w:val="4B047121"/>
    <w:rsid w:val="4B125CE2"/>
    <w:rsid w:val="4C7D362F"/>
    <w:rsid w:val="4CAA5AA7"/>
    <w:rsid w:val="4DC164B0"/>
    <w:rsid w:val="4DD049FB"/>
    <w:rsid w:val="4DFA2A5E"/>
    <w:rsid w:val="4EEC23A6"/>
    <w:rsid w:val="4F5D7B14"/>
    <w:rsid w:val="4F776905"/>
    <w:rsid w:val="4FB86F32"/>
    <w:rsid w:val="50B96C00"/>
    <w:rsid w:val="51B329C8"/>
    <w:rsid w:val="52164092"/>
    <w:rsid w:val="52391DA6"/>
    <w:rsid w:val="525C5A95"/>
    <w:rsid w:val="52D90E94"/>
    <w:rsid w:val="533B56AA"/>
    <w:rsid w:val="53536E98"/>
    <w:rsid w:val="53894668"/>
    <w:rsid w:val="547E7F44"/>
    <w:rsid w:val="54B716A8"/>
    <w:rsid w:val="54EA382C"/>
    <w:rsid w:val="55C0458D"/>
    <w:rsid w:val="55FD2308"/>
    <w:rsid w:val="564B3E56"/>
    <w:rsid w:val="56CE6835"/>
    <w:rsid w:val="59487781"/>
    <w:rsid w:val="5952374E"/>
    <w:rsid w:val="59592D2E"/>
    <w:rsid w:val="5A2E6CD8"/>
    <w:rsid w:val="5A3B68D8"/>
    <w:rsid w:val="5ADB7D78"/>
    <w:rsid w:val="5B800A46"/>
    <w:rsid w:val="5C4D276E"/>
    <w:rsid w:val="5C512D32"/>
    <w:rsid w:val="5CA97633"/>
    <w:rsid w:val="5CB5471F"/>
    <w:rsid w:val="5CFF3BED"/>
    <w:rsid w:val="5D7E2D63"/>
    <w:rsid w:val="5E0F1C0D"/>
    <w:rsid w:val="5E3873B6"/>
    <w:rsid w:val="5E4D2736"/>
    <w:rsid w:val="5FCA773B"/>
    <w:rsid w:val="60786190"/>
    <w:rsid w:val="619E1C26"/>
    <w:rsid w:val="61D158D0"/>
    <w:rsid w:val="634C3904"/>
    <w:rsid w:val="63DC4C88"/>
    <w:rsid w:val="63F0603D"/>
    <w:rsid w:val="640104C5"/>
    <w:rsid w:val="65441F2E"/>
    <w:rsid w:val="6545060B"/>
    <w:rsid w:val="659375C8"/>
    <w:rsid w:val="65B61D10"/>
    <w:rsid w:val="65CB6408"/>
    <w:rsid w:val="667F5A9A"/>
    <w:rsid w:val="66DA774A"/>
    <w:rsid w:val="67430B73"/>
    <w:rsid w:val="67492634"/>
    <w:rsid w:val="677D63AA"/>
    <w:rsid w:val="678E0047"/>
    <w:rsid w:val="67C63526"/>
    <w:rsid w:val="683C7AA3"/>
    <w:rsid w:val="699B77F3"/>
    <w:rsid w:val="69D32689"/>
    <w:rsid w:val="69DA4403"/>
    <w:rsid w:val="69DF4B8A"/>
    <w:rsid w:val="69F04FE9"/>
    <w:rsid w:val="6A334ED5"/>
    <w:rsid w:val="6A6E56A3"/>
    <w:rsid w:val="6AE34B4E"/>
    <w:rsid w:val="6B2D7D91"/>
    <w:rsid w:val="6C256AA0"/>
    <w:rsid w:val="6D2A0159"/>
    <w:rsid w:val="6DF350A8"/>
    <w:rsid w:val="6E0468FF"/>
    <w:rsid w:val="6E1A4985"/>
    <w:rsid w:val="6E4A0A40"/>
    <w:rsid w:val="6E810806"/>
    <w:rsid w:val="6F082DD5"/>
    <w:rsid w:val="6F213E96"/>
    <w:rsid w:val="70671D7D"/>
    <w:rsid w:val="70F51137"/>
    <w:rsid w:val="71173FAA"/>
    <w:rsid w:val="712672B4"/>
    <w:rsid w:val="71A222F8"/>
    <w:rsid w:val="727B1B10"/>
    <w:rsid w:val="729D1A86"/>
    <w:rsid w:val="731A162D"/>
    <w:rsid w:val="732C4748"/>
    <w:rsid w:val="7346501E"/>
    <w:rsid w:val="73966C01"/>
    <w:rsid w:val="73AD5CF9"/>
    <w:rsid w:val="750379B1"/>
    <w:rsid w:val="75B07D22"/>
    <w:rsid w:val="76690173"/>
    <w:rsid w:val="777032C5"/>
    <w:rsid w:val="78236589"/>
    <w:rsid w:val="78BC253A"/>
    <w:rsid w:val="78CA02E9"/>
    <w:rsid w:val="79C478F8"/>
    <w:rsid w:val="79C64E2F"/>
    <w:rsid w:val="7A4F7B0A"/>
    <w:rsid w:val="7A8D0632"/>
    <w:rsid w:val="7ABD5BC0"/>
    <w:rsid w:val="7C2119F0"/>
    <w:rsid w:val="7C613B24"/>
    <w:rsid w:val="7CD6006E"/>
    <w:rsid w:val="7CE279A5"/>
    <w:rsid w:val="7D703517"/>
    <w:rsid w:val="7E663674"/>
    <w:rsid w:val="7E694F12"/>
    <w:rsid w:val="7F36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footer"/>
    <w:basedOn w:val="1"/>
    <w:link w:val="38"/>
    <w:qFormat/>
    <w:uiPriority w:val="0"/>
    <w:pPr>
      <w:tabs>
        <w:tab w:val="center" w:pos="4153"/>
        <w:tab w:val="right" w:pos="8306"/>
      </w:tabs>
      <w:snapToGrid w:val="0"/>
      <w:jc w:val="left"/>
    </w:pPr>
    <w:rPr>
      <w:sz w:val="18"/>
      <w:szCs w:val="18"/>
    </w:rPr>
  </w:style>
  <w:style w:type="paragraph" w:styleId="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kern w:val="0"/>
      <w:sz w:val="24"/>
    </w:rPr>
  </w:style>
  <w:style w:type="character" w:styleId="10">
    <w:name w:val="Strong"/>
    <w:basedOn w:val="9"/>
    <w:qFormat/>
    <w:uiPriority w:val="0"/>
    <w:rPr>
      <w:b/>
    </w:rPr>
  </w:style>
  <w:style w:type="character" w:styleId="11">
    <w:name w:val="FollowedHyperlink"/>
    <w:basedOn w:val="9"/>
    <w:qFormat/>
    <w:uiPriority w:val="0"/>
    <w:rPr>
      <w:color w:val="555555"/>
      <w:u w:val="none"/>
    </w:rPr>
  </w:style>
  <w:style w:type="character" w:styleId="12">
    <w:name w:val="Hyperlink"/>
    <w:basedOn w:val="9"/>
    <w:qFormat/>
    <w:uiPriority w:val="0"/>
    <w:rPr>
      <w:color w:val="0000FF"/>
      <w:u w:val="single"/>
    </w:rPr>
  </w:style>
  <w:style w:type="character" w:styleId="13">
    <w:name w:val="HTML Code"/>
    <w:basedOn w:val="9"/>
    <w:qFormat/>
    <w:uiPriority w:val="0"/>
    <w:rPr>
      <w:rFonts w:ascii="Courier New" w:hAnsi="Courier New"/>
      <w:sz w:val="20"/>
    </w:rPr>
  </w:style>
  <w:style w:type="character" w:styleId="14">
    <w:name w:val="annotation reference"/>
    <w:basedOn w:val="9"/>
    <w:qFormat/>
    <w:uiPriority w:val="0"/>
    <w:rPr>
      <w:sz w:val="21"/>
      <w:szCs w:val="21"/>
    </w:rPr>
  </w:style>
  <w:style w:type="character" w:customStyle="1" w:styleId="15">
    <w:name w:val="on"/>
    <w:basedOn w:val="9"/>
    <w:qFormat/>
    <w:uiPriority w:val="0"/>
    <w:rPr>
      <w:b/>
      <w:bCs/>
      <w:color w:val="1658A0"/>
      <w:shd w:val="clear" w:color="auto" w:fill="F2F2F2"/>
    </w:rPr>
  </w:style>
  <w:style w:type="character" w:customStyle="1" w:styleId="16">
    <w:name w:val="icon4"/>
    <w:basedOn w:val="9"/>
    <w:qFormat/>
    <w:uiPriority w:val="0"/>
  </w:style>
  <w:style w:type="character" w:customStyle="1" w:styleId="17">
    <w:name w:val="icon3"/>
    <w:basedOn w:val="9"/>
    <w:qFormat/>
    <w:uiPriority w:val="0"/>
  </w:style>
  <w:style w:type="character" w:customStyle="1" w:styleId="18">
    <w:name w:val="icon7"/>
    <w:basedOn w:val="9"/>
    <w:qFormat/>
    <w:uiPriority w:val="0"/>
  </w:style>
  <w:style w:type="character" w:customStyle="1" w:styleId="19">
    <w:name w:val="icon1"/>
    <w:basedOn w:val="9"/>
    <w:qFormat/>
    <w:uiPriority w:val="0"/>
  </w:style>
  <w:style w:type="character" w:customStyle="1" w:styleId="20">
    <w:name w:val="icon2"/>
    <w:basedOn w:val="9"/>
    <w:qFormat/>
    <w:uiPriority w:val="0"/>
  </w:style>
  <w:style w:type="character" w:customStyle="1" w:styleId="21">
    <w:name w:val="icon5"/>
    <w:basedOn w:val="9"/>
    <w:qFormat/>
    <w:uiPriority w:val="0"/>
  </w:style>
  <w:style w:type="character" w:customStyle="1" w:styleId="22">
    <w:name w:val="icon6"/>
    <w:basedOn w:val="9"/>
    <w:qFormat/>
    <w:uiPriority w:val="0"/>
  </w:style>
  <w:style w:type="character" w:customStyle="1" w:styleId="23">
    <w:name w:val="icon8"/>
    <w:basedOn w:val="9"/>
    <w:qFormat/>
    <w:uiPriority w:val="0"/>
  </w:style>
  <w:style w:type="character" w:customStyle="1" w:styleId="24">
    <w:name w:val="line2"/>
    <w:basedOn w:val="9"/>
    <w:qFormat/>
    <w:uiPriority w:val="0"/>
  </w:style>
  <w:style w:type="character" w:customStyle="1" w:styleId="25">
    <w:name w:val="line3"/>
    <w:basedOn w:val="9"/>
    <w:qFormat/>
    <w:uiPriority w:val="0"/>
  </w:style>
  <w:style w:type="character" w:customStyle="1" w:styleId="26">
    <w:name w:val="sl"/>
    <w:basedOn w:val="9"/>
    <w:qFormat/>
    <w:uiPriority w:val="0"/>
    <w:rPr>
      <w:sz w:val="21"/>
      <w:szCs w:val="21"/>
    </w:rPr>
  </w:style>
  <w:style w:type="character" w:customStyle="1" w:styleId="27">
    <w:name w:val="fy_go"/>
    <w:basedOn w:val="9"/>
    <w:qFormat/>
    <w:uiPriority w:val="0"/>
    <w:rPr>
      <w:color w:val="FFFFFF"/>
      <w:sz w:val="21"/>
      <w:szCs w:val="21"/>
      <w:shd w:val="clear" w:color="auto" w:fill="1658A0"/>
    </w:rPr>
  </w:style>
  <w:style w:type="character" w:customStyle="1" w:styleId="28">
    <w:name w:val="calendar-head__year-range"/>
    <w:basedOn w:val="9"/>
    <w:qFormat/>
    <w:uiPriority w:val="0"/>
    <w:rPr>
      <w:vanish/>
    </w:rPr>
  </w:style>
  <w:style w:type="character" w:customStyle="1" w:styleId="29">
    <w:name w:val="hover"/>
    <w:basedOn w:val="9"/>
    <w:qFormat/>
    <w:uiPriority w:val="0"/>
    <w:rPr>
      <w:color w:val="2F6EA2"/>
    </w:rPr>
  </w:style>
  <w:style w:type="character" w:customStyle="1" w:styleId="30">
    <w:name w:val="active"/>
    <w:basedOn w:val="9"/>
    <w:qFormat/>
    <w:uiPriority w:val="0"/>
    <w:rPr>
      <w:color w:val="333333"/>
    </w:rPr>
  </w:style>
  <w:style w:type="character" w:customStyle="1" w:styleId="31">
    <w:name w:val="calendar-head__next-month-btn"/>
    <w:basedOn w:val="9"/>
    <w:qFormat/>
    <w:uiPriority w:val="0"/>
  </w:style>
  <w:style w:type="character" w:customStyle="1" w:styleId="32">
    <w:name w:val="calendar-head__text-display"/>
    <w:basedOn w:val="9"/>
    <w:qFormat/>
    <w:uiPriority w:val="0"/>
    <w:rPr>
      <w:vanish/>
    </w:rPr>
  </w:style>
  <w:style w:type="character" w:customStyle="1" w:styleId="33">
    <w:name w:val="calendar-head__next-year-btn"/>
    <w:basedOn w:val="9"/>
    <w:qFormat/>
    <w:uiPriority w:val="0"/>
  </w:style>
  <w:style w:type="character" w:customStyle="1" w:styleId="34">
    <w:name w:val="calendar-head__prev-range-btn"/>
    <w:basedOn w:val="9"/>
    <w:qFormat/>
    <w:uiPriority w:val="0"/>
    <w:rPr>
      <w:vanish/>
    </w:rPr>
  </w:style>
  <w:style w:type="character" w:customStyle="1" w:styleId="35">
    <w:name w:val="calendar-head__next-range-btn"/>
    <w:basedOn w:val="9"/>
    <w:qFormat/>
    <w:uiPriority w:val="0"/>
    <w:rPr>
      <w:vanish/>
    </w:rPr>
  </w:style>
  <w:style w:type="character" w:customStyle="1" w:styleId="36">
    <w:name w:val="active2"/>
    <w:basedOn w:val="9"/>
    <w:qFormat/>
    <w:uiPriority w:val="0"/>
    <w:rPr>
      <w:color w:val="333333"/>
    </w:rPr>
  </w:style>
  <w:style w:type="character" w:customStyle="1" w:styleId="37">
    <w:name w:val="页眉 字符"/>
    <w:basedOn w:val="9"/>
    <w:link w:val="6"/>
    <w:qFormat/>
    <w:uiPriority w:val="0"/>
    <w:rPr>
      <w:rFonts w:ascii="Calibri" w:hAnsi="Calibri"/>
      <w:kern w:val="2"/>
      <w:sz w:val="18"/>
      <w:szCs w:val="18"/>
    </w:rPr>
  </w:style>
  <w:style w:type="character" w:customStyle="1" w:styleId="38">
    <w:name w:val="页脚 字符"/>
    <w:basedOn w:val="9"/>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近年来我单位收到政务信息公开申请变化情况表</a:t>
            </a:r>
            <a:endParaRPr lang="zh-CN" altLang="en-US"/>
          </a:p>
        </c:rich>
      </c:tx>
      <c:layout>
        <c:manualLayout>
          <c:xMode val="edge"/>
          <c:yMode val="edge"/>
          <c:x val="0.132313995044335"/>
          <c:y val="0.039704930387146"/>
        </c:manualLayout>
      </c:layout>
      <c:overlay val="0"/>
      <c:spPr>
        <a:noFill/>
        <a:ln>
          <a:noFill/>
        </a:ln>
        <a:effectLst/>
      </c:spPr>
    </c:title>
    <c:autoTitleDeleted val="0"/>
    <c:plotArea>
      <c:layout>
        <c:manualLayout>
          <c:layoutTarget val="inner"/>
          <c:xMode val="edge"/>
          <c:yMode val="edge"/>
          <c:x val="0.0640392879066912"/>
          <c:y val="0.190077519379845"/>
          <c:w val="0.907354205033763"/>
          <c:h val="0.681674418604651"/>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0293643482266237"/>
                  <c:y val="-0.05423728813559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7273146015661"/>
                  <c:y val="-0.044067796610169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259097190234915"/>
                  <c:y val="-0.04067796610169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[工作簿3]Sheet1!$A$1:$C$1</c:f>
              <c:strCache>
                <c:ptCount val="3"/>
                <c:pt idx="0">
                  <c:v>2020年</c:v>
                </c:pt>
                <c:pt idx="1">
                  <c:v>2021年</c:v>
                </c:pt>
                <c:pt idx="2">
                  <c:v>2022年</c:v>
                </c:pt>
              </c:strCache>
            </c:strRef>
          </c:cat>
          <c:val>
            <c:numRef>
              <c:f>[工作簿3]Sheet1!$A$2:$C$2</c:f>
              <c:numCache>
                <c:formatCode>General</c:formatCode>
                <c:ptCount val="3"/>
                <c:pt idx="0">
                  <c:v>3</c:v>
                </c:pt>
                <c:pt idx="1">
                  <c:v>0</c:v>
                </c:pt>
                <c:pt idx="2">
                  <c:v>0</c:v>
                </c:pt>
              </c:numCache>
            </c:numRef>
          </c:val>
          <c:smooth val="0"/>
        </c:ser>
        <c:dLbls>
          <c:showLegendKey val="0"/>
          <c:showVal val="1"/>
          <c:showCatName val="0"/>
          <c:showSerName val="0"/>
          <c:showPercent val="0"/>
          <c:showBubbleSize val="0"/>
        </c:dLbls>
        <c:marker val="1"/>
        <c:smooth val="0"/>
        <c:axId val="590614529"/>
        <c:axId val="374310581"/>
      </c:lineChart>
      <c:catAx>
        <c:axId val="59061452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74310581"/>
        <c:crosses val="autoZero"/>
        <c:auto val="1"/>
        <c:lblAlgn val="ctr"/>
        <c:lblOffset val="100"/>
        <c:noMultiLvlLbl val="0"/>
      </c:catAx>
      <c:valAx>
        <c:axId val="3743105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061452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3546</Words>
  <Characters>3751</Characters>
  <Lines>31</Lines>
  <Paragraphs>8</Paragraphs>
  <TotalTime>2</TotalTime>
  <ScaleCrop>false</ScaleCrop>
  <LinksUpToDate>false</LinksUpToDate>
  <CharactersWithSpaces>3772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2022-01-14T06:27:00Z</dcterms:created>
  <dc:creator>Administrator</dc:creator>
  <cp:lastModifiedBy>王国昌</cp:lastModifiedBy>
  <cp:lastPrinted>2023-01-29T02:02:00Z</cp:lastPrinted>
  <dcterms:modified xsi:type="dcterms:W3CDTF">2023-01-29T07:34:22Z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9ED5BECFB6654FDC8DD6FFBFEF6B4044</vt:lpwstr>
  </property>
</Properties>
</file>