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480" w:lineRule="atLeast"/>
        <w:jc w:val="center"/>
        <w:rPr>
          <w:rFonts w:ascii="方正小标宋简体" w:hAnsi="微软雅黑" w:eastAsia="方正小标宋简体" w:cs="宋体"/>
          <w:color w:val="333333"/>
          <w:kern w:val="0"/>
          <w:sz w:val="44"/>
          <w:szCs w:val="44"/>
        </w:rPr>
      </w:pPr>
    </w:p>
    <w:p>
      <w:pPr>
        <w:widowControl/>
        <w:shd w:val="clear" w:color="auto" w:fill="FFFFFF"/>
        <w:adjustRightInd w:val="0"/>
        <w:snapToGrid w:val="0"/>
        <w:spacing w:line="480" w:lineRule="atLeas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安丘市畜牧业发展中心</w:t>
      </w:r>
    </w:p>
    <w:p>
      <w:pPr>
        <w:widowControl/>
        <w:shd w:val="clear" w:color="auto" w:fill="FFFFFF"/>
        <w:adjustRightInd w:val="0"/>
        <w:snapToGrid w:val="0"/>
        <w:spacing w:line="480" w:lineRule="atLeas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2019年度政府信息公开工作报告</w:t>
      </w:r>
    </w:p>
    <w:p>
      <w:pPr>
        <w:widowControl/>
        <w:shd w:val="clear" w:color="auto" w:fill="FFFFFF"/>
        <w:wordWrap w:val="0"/>
        <w:spacing w:line="480" w:lineRule="atLeast"/>
        <w:ind w:firstLine="640"/>
        <w:jc w:val="left"/>
        <w:rPr>
          <w:rFonts w:ascii="仿宋_GB2312" w:hAnsi="微软雅黑" w:eastAsia="仿宋_GB2312" w:cs="宋体"/>
          <w:color w:val="333333"/>
          <w:kern w:val="0"/>
          <w:sz w:val="32"/>
          <w:szCs w:val="32"/>
        </w:rPr>
      </w:pP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根据《中华人民共和国政府信息公开条例》《山东省政府信息公开办法》要求，结合我中心实际，编制并向社会公布安丘市畜牧业发展中心</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年政府信息公开工作年度报告。本报告中所列数据的统计期限为</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w:t>
      </w:r>
      <w:r>
        <w:rPr>
          <w:rFonts w:hint="eastAsia" w:ascii="微软雅黑" w:hAnsi="微软雅黑" w:eastAsia="微软雅黑" w:cs="宋体"/>
          <w:color w:val="333333"/>
          <w:kern w:val="0"/>
          <w:sz w:val="24"/>
          <w:szCs w:val="24"/>
        </w:rPr>
        <w:t>1</w:t>
      </w:r>
      <w:r>
        <w:rPr>
          <w:rFonts w:hint="eastAsia" w:ascii="仿宋_GB2312" w:hAnsi="微软雅黑" w:eastAsia="仿宋_GB2312" w:cs="宋体"/>
          <w:color w:val="333333"/>
          <w:kern w:val="0"/>
          <w:sz w:val="32"/>
          <w:szCs w:val="32"/>
        </w:rPr>
        <w:t>月</w:t>
      </w:r>
      <w:r>
        <w:rPr>
          <w:rFonts w:hint="eastAsia" w:ascii="微软雅黑" w:hAnsi="微软雅黑" w:eastAsia="微软雅黑" w:cs="宋体"/>
          <w:color w:val="333333"/>
          <w:kern w:val="0"/>
          <w:sz w:val="24"/>
          <w:szCs w:val="24"/>
        </w:rPr>
        <w:t>1</w:t>
      </w:r>
      <w:r>
        <w:rPr>
          <w:rFonts w:hint="eastAsia" w:ascii="仿宋_GB2312" w:hAnsi="微软雅黑" w:eastAsia="仿宋_GB2312" w:cs="宋体"/>
          <w:color w:val="333333"/>
          <w:kern w:val="0"/>
          <w:sz w:val="32"/>
          <w:szCs w:val="32"/>
        </w:rPr>
        <w:t>日至</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w:t>
      </w:r>
      <w:r>
        <w:rPr>
          <w:rFonts w:hint="eastAsia" w:ascii="微软雅黑" w:hAnsi="微软雅黑" w:eastAsia="微软雅黑" w:cs="宋体"/>
          <w:color w:val="333333"/>
          <w:kern w:val="0"/>
          <w:sz w:val="24"/>
          <w:szCs w:val="24"/>
        </w:rPr>
        <w:t>12</w:t>
      </w:r>
      <w:r>
        <w:rPr>
          <w:rFonts w:hint="eastAsia" w:ascii="仿宋_GB2312" w:hAnsi="微软雅黑" w:eastAsia="仿宋_GB2312" w:cs="宋体"/>
          <w:color w:val="333333"/>
          <w:kern w:val="0"/>
          <w:sz w:val="32"/>
          <w:szCs w:val="32"/>
        </w:rPr>
        <w:t>月</w:t>
      </w:r>
      <w:r>
        <w:rPr>
          <w:rFonts w:hint="eastAsia" w:ascii="微软雅黑" w:hAnsi="微软雅黑" w:eastAsia="微软雅黑" w:cs="宋体"/>
          <w:color w:val="333333"/>
          <w:kern w:val="0"/>
          <w:sz w:val="24"/>
          <w:szCs w:val="24"/>
        </w:rPr>
        <w:t>31</w:t>
      </w:r>
      <w:r>
        <w:rPr>
          <w:rFonts w:hint="eastAsia" w:ascii="仿宋_GB2312" w:hAnsi="微软雅黑" w:eastAsia="仿宋_GB2312" w:cs="宋体"/>
          <w:color w:val="333333"/>
          <w:kern w:val="0"/>
          <w:sz w:val="32"/>
          <w:szCs w:val="32"/>
        </w:rPr>
        <w:t>日。如对本报告有疑问，请与安丘市畜牧业发展中心办公室联系（地址：山东省安丘市外食街</w:t>
      </w:r>
      <w:r>
        <w:rPr>
          <w:rFonts w:hint="eastAsia" w:ascii="微软雅黑" w:hAnsi="微软雅黑" w:eastAsia="微软雅黑" w:cs="宋体"/>
          <w:color w:val="333333"/>
          <w:kern w:val="0"/>
          <w:sz w:val="24"/>
          <w:szCs w:val="24"/>
        </w:rPr>
        <w:t>9</w:t>
      </w:r>
      <w:r>
        <w:rPr>
          <w:rFonts w:hint="eastAsia" w:ascii="仿宋_GB2312" w:hAnsi="微软雅黑" w:eastAsia="仿宋_GB2312" w:cs="宋体"/>
          <w:color w:val="333333"/>
          <w:kern w:val="0"/>
          <w:sz w:val="32"/>
          <w:szCs w:val="32"/>
        </w:rPr>
        <w:t>号农产品质量综合监管中心</w:t>
      </w:r>
      <w:r>
        <w:rPr>
          <w:rFonts w:hint="eastAsia" w:ascii="微软雅黑" w:hAnsi="微软雅黑" w:eastAsia="微软雅黑" w:cs="宋体"/>
          <w:color w:val="333333"/>
          <w:kern w:val="0"/>
          <w:sz w:val="24"/>
          <w:szCs w:val="24"/>
        </w:rPr>
        <w:t>7</w:t>
      </w:r>
      <w:r>
        <w:rPr>
          <w:rFonts w:hint="eastAsia" w:ascii="仿宋_GB2312" w:hAnsi="微软雅黑" w:eastAsia="仿宋_GB2312" w:cs="宋体"/>
          <w:color w:val="333333"/>
          <w:kern w:val="0"/>
          <w:sz w:val="32"/>
          <w:szCs w:val="32"/>
        </w:rPr>
        <w:t>楼，邮编：</w:t>
      </w:r>
      <w:r>
        <w:rPr>
          <w:rFonts w:hint="eastAsia" w:ascii="微软雅黑" w:hAnsi="微软雅黑" w:eastAsia="微软雅黑" w:cs="宋体"/>
          <w:color w:val="333333"/>
          <w:kern w:val="0"/>
          <w:sz w:val="24"/>
          <w:szCs w:val="24"/>
        </w:rPr>
        <w:t>262100</w:t>
      </w:r>
      <w:r>
        <w:rPr>
          <w:rFonts w:hint="eastAsia" w:ascii="仿宋_GB2312" w:hAnsi="微软雅黑" w:eastAsia="仿宋_GB2312" w:cs="宋体"/>
          <w:color w:val="333333"/>
          <w:kern w:val="0"/>
          <w:sz w:val="32"/>
          <w:szCs w:val="32"/>
        </w:rPr>
        <w:t>，电话：</w:t>
      </w:r>
      <w:r>
        <w:rPr>
          <w:rFonts w:hint="eastAsia" w:ascii="微软雅黑" w:hAnsi="微软雅黑" w:eastAsia="微软雅黑" w:cs="宋体"/>
          <w:color w:val="333333"/>
          <w:kern w:val="0"/>
          <w:sz w:val="24"/>
          <w:szCs w:val="24"/>
        </w:rPr>
        <w:t>0536-4262974</w:t>
      </w:r>
      <w:r>
        <w:rPr>
          <w:rFonts w:hint="eastAsia" w:ascii="仿宋_GB2312" w:hAnsi="微软雅黑" w:eastAsia="仿宋_GB2312" w:cs="宋体"/>
          <w:color w:val="333333"/>
          <w:kern w:val="0"/>
          <w:sz w:val="32"/>
          <w:szCs w:val="32"/>
        </w:rPr>
        <w:t>，邮箱：</w:t>
      </w:r>
      <w:r>
        <w:rPr>
          <w:rFonts w:hint="eastAsia" w:ascii="微软雅黑" w:hAnsi="微软雅黑" w:eastAsia="微软雅黑" w:cs="宋体"/>
          <w:color w:val="333333"/>
          <w:kern w:val="0"/>
          <w:sz w:val="24"/>
          <w:szCs w:val="24"/>
        </w:rPr>
        <w:t>aqxmjbgs@wf.shandong.cn</w:t>
      </w:r>
      <w:r>
        <w:rPr>
          <w:rFonts w:hint="eastAsia" w:ascii="仿宋_GB2312" w:hAnsi="微软雅黑" w:eastAsia="仿宋_GB2312" w:cs="宋体"/>
          <w:color w:val="333333"/>
          <w:kern w:val="0"/>
          <w:sz w:val="32"/>
          <w:szCs w:val="32"/>
        </w:rPr>
        <w:t>）。</w:t>
      </w:r>
    </w:p>
    <w:p>
      <w:pPr>
        <w:widowControl/>
        <w:shd w:val="clear" w:color="auto" w:fill="FFFFFF"/>
        <w:spacing w:line="480" w:lineRule="atLeast"/>
        <w:ind w:firstLine="803"/>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一、政府信息公开总体情况</w:t>
      </w:r>
    </w:p>
    <w:p>
      <w:pPr>
        <w:widowControl/>
        <w:shd w:val="clear" w:color="auto" w:fill="FFFFFF"/>
        <w:spacing w:line="560" w:lineRule="atLeast"/>
        <w:ind w:firstLine="48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年，市畜牧业发展中心，</w:t>
      </w:r>
      <w:r>
        <w:rPr>
          <w:rFonts w:hint="eastAsia" w:ascii="仿宋_GB2312" w:hAnsi="微软雅黑" w:eastAsia="仿宋_GB2312" w:cs="宋体"/>
          <w:color w:val="333333"/>
          <w:kern w:val="0"/>
          <w:sz w:val="32"/>
          <w:szCs w:val="32"/>
          <w:shd w:val="clear" w:color="auto" w:fill="FFFFFF"/>
        </w:rPr>
        <w:t>以《中华人民共和国政府信息公开条例》为基本遵循</w:t>
      </w:r>
      <w:r>
        <w:rPr>
          <w:rFonts w:hint="eastAsia" w:ascii="微软雅黑" w:hAnsi="微软雅黑" w:eastAsia="微软雅黑" w:cs="宋体"/>
          <w:color w:val="333333"/>
          <w:kern w:val="0"/>
          <w:sz w:val="24"/>
          <w:szCs w:val="24"/>
          <w:shd w:val="clear" w:color="auto" w:fill="FFFFFF"/>
        </w:rPr>
        <w:t>, </w:t>
      </w:r>
      <w:r>
        <w:rPr>
          <w:rFonts w:hint="eastAsia" w:ascii="仿宋_GB2312" w:hAnsi="微软雅黑" w:eastAsia="仿宋_GB2312" w:cs="宋体"/>
          <w:color w:val="333333"/>
          <w:kern w:val="0"/>
          <w:sz w:val="32"/>
          <w:szCs w:val="32"/>
          <w:shd w:val="clear" w:color="auto" w:fill="FFFFFF"/>
        </w:rPr>
        <w:t>根据安丘市政府办公室《关于全面推进政务公开工作的实施方案》</w:t>
      </w:r>
      <w:r>
        <w:rPr>
          <w:rFonts w:hint="eastAsia" w:ascii="微软雅黑" w:hAnsi="微软雅黑" w:eastAsia="微软雅黑" w:cs="宋体"/>
          <w:color w:val="333333"/>
          <w:kern w:val="0"/>
          <w:sz w:val="24"/>
          <w:szCs w:val="24"/>
          <w:shd w:val="clear" w:color="auto" w:fill="FFFFFF"/>
        </w:rPr>
        <w:t>(</w:t>
      </w:r>
      <w:r>
        <w:rPr>
          <w:rFonts w:hint="eastAsia" w:ascii="仿宋_GB2312" w:hAnsi="微软雅黑" w:eastAsia="仿宋_GB2312" w:cs="宋体"/>
          <w:color w:val="333333"/>
          <w:kern w:val="0"/>
          <w:sz w:val="32"/>
          <w:szCs w:val="32"/>
          <w:shd w:val="clear" w:color="auto" w:fill="FFFFFF"/>
        </w:rPr>
        <w:t>安政办〔</w:t>
      </w:r>
      <w:r>
        <w:rPr>
          <w:rFonts w:hint="eastAsia" w:ascii="微软雅黑" w:hAnsi="微软雅黑" w:eastAsia="微软雅黑" w:cs="宋体"/>
          <w:color w:val="333333"/>
          <w:kern w:val="0"/>
          <w:sz w:val="24"/>
          <w:szCs w:val="24"/>
          <w:shd w:val="clear" w:color="auto" w:fill="FFFFFF"/>
        </w:rPr>
        <w:t>2019</w:t>
      </w:r>
      <w:r>
        <w:rPr>
          <w:rFonts w:hint="eastAsia" w:ascii="仿宋_GB2312" w:hAnsi="微软雅黑" w:eastAsia="仿宋_GB2312" w:cs="宋体"/>
          <w:color w:val="333333"/>
          <w:kern w:val="0"/>
          <w:sz w:val="32"/>
          <w:szCs w:val="32"/>
          <w:shd w:val="clear" w:color="auto" w:fill="FFFFFF"/>
        </w:rPr>
        <w:t>〕</w:t>
      </w:r>
      <w:r>
        <w:rPr>
          <w:rFonts w:hint="eastAsia" w:ascii="微软雅黑" w:hAnsi="微软雅黑" w:eastAsia="微软雅黑" w:cs="宋体"/>
          <w:color w:val="333333"/>
          <w:kern w:val="0"/>
          <w:sz w:val="24"/>
          <w:szCs w:val="24"/>
          <w:shd w:val="clear" w:color="auto" w:fill="FFFFFF"/>
        </w:rPr>
        <w:t>49</w:t>
      </w:r>
      <w:r>
        <w:rPr>
          <w:rFonts w:hint="eastAsia" w:ascii="仿宋_GB2312" w:hAnsi="微软雅黑" w:eastAsia="仿宋_GB2312" w:cs="宋体"/>
          <w:color w:val="333333"/>
          <w:kern w:val="0"/>
          <w:sz w:val="32"/>
          <w:szCs w:val="32"/>
          <w:shd w:val="clear" w:color="auto" w:fill="FFFFFF"/>
        </w:rPr>
        <w:t>号</w:t>
      </w:r>
      <w:r>
        <w:rPr>
          <w:rFonts w:hint="eastAsia" w:ascii="微软雅黑" w:hAnsi="微软雅黑" w:eastAsia="微软雅黑" w:cs="宋体"/>
          <w:color w:val="333333"/>
          <w:kern w:val="0"/>
          <w:sz w:val="24"/>
          <w:szCs w:val="24"/>
          <w:shd w:val="clear" w:color="auto" w:fill="FFFFFF"/>
        </w:rPr>
        <w:t>)</w:t>
      </w:r>
      <w:r>
        <w:rPr>
          <w:rFonts w:hint="eastAsia" w:ascii="仿宋_GB2312" w:hAnsi="微软雅黑" w:eastAsia="仿宋_GB2312" w:cs="宋体"/>
          <w:color w:val="333333"/>
          <w:kern w:val="0"/>
          <w:sz w:val="32"/>
          <w:szCs w:val="32"/>
          <w:shd w:val="clear" w:color="auto" w:fill="FFFFFF"/>
        </w:rPr>
        <w:t>要求，</w:t>
      </w:r>
      <w:r>
        <w:rPr>
          <w:rFonts w:hint="eastAsia" w:ascii="仿宋_GB2312" w:hAnsi="微软雅黑" w:eastAsia="仿宋_GB2312" w:cs="宋体"/>
          <w:color w:val="333333"/>
          <w:kern w:val="0"/>
          <w:sz w:val="32"/>
          <w:szCs w:val="32"/>
        </w:rPr>
        <w:t>紧紧围绕市委市政府中心工作部署，落实“一一四六三”畜牧工作思路，以推进畜牧业供给侧结构性改革为主线，扎实落实乡村振兴战略工作计划，加快新旧动能转换，突出抓实双招双引、重点项目、乡村振兴、粪污整治、技术服务等关键环节，</w:t>
      </w:r>
      <w:r>
        <w:rPr>
          <w:rFonts w:hint="eastAsia" w:ascii="仿宋_GB2312" w:hAnsi="微软雅黑" w:eastAsia="仿宋_GB2312" w:cs="宋体"/>
          <w:color w:val="333333"/>
          <w:kern w:val="0"/>
          <w:sz w:val="32"/>
          <w:szCs w:val="32"/>
          <w:shd w:val="clear" w:color="auto" w:fill="FFFFFF"/>
        </w:rPr>
        <w:t>扎实做好重点领域信息公开，加强政务公开平台建设，强化政策解读回应和政民互动，推进决策、执行、管理、服务、结果公开，让权力在阳光下运行，保障人民群众的知情权、参与权、表达权、监督权。</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（一）主动公开情况</w:t>
      </w:r>
    </w:p>
    <w:p>
      <w:pPr>
        <w:widowControl/>
        <w:shd w:val="clear" w:color="auto" w:fill="FFFFFF"/>
        <w:spacing w:line="560" w:lineRule="atLeast"/>
        <w:ind w:firstLine="8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2019年以来，我中心严格按照“五公开”要求，加大决策、执行、管理、服务、结果信息公开力度，进一步加强依申请公开、政策解读、回应社会关切、重点领域信息公开、政府信息管理、平台建设管理，保证了政府信息工作得以高效开展。截至</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w:t>
      </w:r>
      <w:r>
        <w:rPr>
          <w:rFonts w:hint="eastAsia" w:ascii="微软雅黑" w:hAnsi="微软雅黑" w:eastAsia="微软雅黑" w:cs="宋体"/>
          <w:color w:val="333333"/>
          <w:kern w:val="0"/>
          <w:sz w:val="24"/>
          <w:szCs w:val="24"/>
        </w:rPr>
        <w:t>12</w:t>
      </w:r>
      <w:r>
        <w:rPr>
          <w:rFonts w:hint="eastAsia" w:ascii="仿宋_GB2312" w:hAnsi="微软雅黑" w:eastAsia="仿宋_GB2312" w:cs="宋体"/>
          <w:color w:val="333333"/>
          <w:kern w:val="0"/>
          <w:sz w:val="32"/>
          <w:szCs w:val="32"/>
        </w:rPr>
        <w:t>月</w:t>
      </w:r>
      <w:r>
        <w:rPr>
          <w:rFonts w:hint="eastAsia" w:ascii="微软雅黑" w:hAnsi="微软雅黑" w:eastAsia="微软雅黑" w:cs="宋体"/>
          <w:color w:val="333333"/>
          <w:kern w:val="0"/>
          <w:sz w:val="24"/>
          <w:szCs w:val="24"/>
        </w:rPr>
        <w:t>31</w:t>
      </w:r>
      <w:r>
        <w:rPr>
          <w:rFonts w:hint="eastAsia" w:ascii="仿宋_GB2312" w:hAnsi="微软雅黑" w:eastAsia="仿宋_GB2312" w:cs="宋体"/>
          <w:color w:val="333333"/>
          <w:kern w:val="0"/>
          <w:sz w:val="32"/>
          <w:szCs w:val="32"/>
        </w:rPr>
        <w:t>日，全年共公开政务信息119条，其中通过政府信息公开网站主动公开政府信息115条，被省级采用2条,</w:t>
      </w:r>
      <w:r>
        <w:rPr>
          <w:rFonts w:hint="eastAsia" w:ascii="微软雅黑" w:hAnsi="微软雅黑" w:eastAsia="微软雅黑" w:cs="宋体"/>
          <w:color w:val="333333"/>
          <w:kern w:val="0"/>
          <w:sz w:val="24"/>
          <w:szCs w:val="24"/>
        </w:rPr>
        <w:t> </w:t>
      </w:r>
      <w:r>
        <w:rPr>
          <w:rFonts w:hint="eastAsia" w:ascii="仿宋_GB2312" w:hAnsi="微软雅黑" w:eastAsia="仿宋_GB2312" w:cs="宋体"/>
          <w:color w:val="333333"/>
          <w:kern w:val="0"/>
          <w:sz w:val="32"/>
          <w:szCs w:val="32"/>
        </w:rPr>
        <w:t>中国畜牧兽医报采用2条，为广大群众了解畜牧业生产形势及我中心工作动态、宣传畜牧产业政策、相关法律法规提供了较好支撑。</w:t>
      </w:r>
    </w:p>
    <w:p>
      <w:pPr>
        <w:widowControl/>
        <w:shd w:val="clear" w:color="auto" w:fill="FFFFFF"/>
        <w:wordWrap w:val="0"/>
        <w:spacing w:line="480" w:lineRule="atLeast"/>
        <w:ind w:firstLine="640"/>
        <w:jc w:val="left"/>
        <w:rPr>
          <w:rFonts w:ascii="楷体_GB2312" w:hAnsi="微软雅黑" w:eastAsia="楷体_GB2312" w:cs="宋体"/>
          <w:color w:val="333333"/>
          <w:kern w:val="0"/>
          <w:sz w:val="32"/>
          <w:szCs w:val="32"/>
        </w:rPr>
      </w:pPr>
      <w:r>
        <w:rPr>
          <w:rFonts w:ascii="仿宋_GB2312" w:hAnsi="微软雅黑" w:eastAsia="仿宋_GB2312" w:cs="宋体"/>
          <w:color w:val="333333"/>
          <w:kern w:val="0"/>
          <w:sz w:val="32"/>
          <w:szCs w:val="32"/>
        </w:rPr>
        <w:drawing>
          <wp:inline distT="0" distB="0" distL="0" distR="0">
            <wp:extent cx="4744085" cy="2646045"/>
            <wp:effectExtent l="0" t="0" r="0" b="1905"/>
            <wp:docPr id="3" name="图片 3" descr="http://xxgk.anqiu.gov.cn/xxgk/xxgknb/sxmj/202001/W020200707569770723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xxgk.anqiu.gov.cn/xxgk/xxgknb/sxmj/202001/W0202007075697707237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44674" cy="2646342"/>
                    </a:xfrm>
                    <a:prstGeom prst="rect">
                      <a:avLst/>
                    </a:prstGeom>
                    <a:noFill/>
                    <a:ln>
                      <a:noFill/>
                    </a:ln>
                  </pic:spPr>
                </pic:pic>
              </a:graphicData>
            </a:graphic>
          </wp:inline>
        </w:drawing>
      </w:r>
      <w:r>
        <w:rPr>
          <w:rFonts w:hint="eastAsia" w:ascii="仿宋_GB2312" w:hAnsi="微软雅黑" w:eastAsia="仿宋_GB2312" w:cs="宋体"/>
          <w:color w:val="333333"/>
          <w:kern w:val="0"/>
          <w:sz w:val="32"/>
          <w:szCs w:val="32"/>
        </w:rPr>
        <w:br w:type="textWrapping"/>
      </w:r>
    </w:p>
    <w:p>
      <w:pPr>
        <w:widowControl/>
        <w:shd w:val="clear" w:color="auto" w:fill="FFFFFF"/>
        <w:wordWrap w:val="0"/>
        <w:spacing w:line="480" w:lineRule="atLeast"/>
        <w:ind w:firstLine="640"/>
        <w:jc w:val="left"/>
        <w:rPr>
          <w:rFonts w:ascii="楷体_GB2312" w:hAnsi="微软雅黑" w:eastAsia="楷体_GB2312" w:cs="宋体"/>
          <w:color w:val="333333"/>
          <w:kern w:val="0"/>
          <w:sz w:val="32"/>
          <w:szCs w:val="32"/>
        </w:rPr>
      </w:pPr>
    </w:p>
    <w:p>
      <w:pPr>
        <w:widowControl/>
        <w:shd w:val="clear" w:color="auto" w:fill="FFFFFF"/>
        <w:wordWrap w:val="0"/>
        <w:spacing w:line="480" w:lineRule="atLeast"/>
        <w:ind w:firstLine="640"/>
        <w:jc w:val="left"/>
        <w:rPr>
          <w:rFonts w:ascii="楷体_GB2312" w:hAnsi="微软雅黑" w:eastAsia="楷体_GB2312" w:cs="宋体"/>
          <w:color w:val="333333"/>
          <w:kern w:val="0"/>
          <w:sz w:val="32"/>
          <w:szCs w:val="32"/>
        </w:rPr>
      </w:pP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（二）依申请公开情况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2019年，市畜牧业发展中心未收到政府信息公开申请，2019年全年未发生因政府信息公开被行政复议、提起行政诉讼情况。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（三）政府信息管理情况</w:t>
      </w:r>
    </w:p>
    <w:p>
      <w:pPr>
        <w:widowControl/>
        <w:shd w:val="clear" w:color="auto" w:fill="FFFFFF"/>
        <w:spacing w:line="560" w:lineRule="atLeast"/>
        <w:ind w:firstLine="8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依据“规范、明了、方便、实用”的原则，加强了重点领域政府信息公开工作，确保信息公开及时、稳妥、有序进行，努力打造阳光政务。</w:t>
      </w:r>
      <w:r>
        <w:rPr>
          <w:rFonts w:hint="eastAsia" w:ascii="仿宋_GB2312" w:hAnsi="微软雅黑" w:eastAsia="仿宋_GB2312" w:cs="宋体"/>
          <w:color w:val="333333"/>
          <w:kern w:val="0"/>
          <w:sz w:val="32"/>
          <w:szCs w:val="32"/>
          <w:shd w:val="clear" w:color="auto" w:fill="FFFFFF"/>
        </w:rPr>
        <w:t>2019年主动公开重点领域信息：一是深入推动畜产品质量安全信息公开。安丘市畜牧业发展中心2019年共抽检1000个批次，及时公开了</w:t>
      </w:r>
      <w:r>
        <w:rPr>
          <w:rFonts w:hint="eastAsia" w:ascii="微软雅黑" w:hAnsi="微软雅黑" w:eastAsia="微软雅黑" w:cs="宋体"/>
          <w:color w:val="333333"/>
          <w:kern w:val="0"/>
          <w:sz w:val="24"/>
          <w:szCs w:val="24"/>
          <w:shd w:val="clear" w:color="auto" w:fill="FFFFFF"/>
        </w:rPr>
        <w:t>3</w:t>
      </w:r>
      <w:r>
        <w:rPr>
          <w:rFonts w:hint="eastAsia" w:ascii="仿宋_GB2312" w:hAnsi="微软雅黑" w:eastAsia="仿宋_GB2312" w:cs="宋体"/>
          <w:color w:val="333333"/>
          <w:kern w:val="0"/>
          <w:sz w:val="32"/>
          <w:szCs w:val="32"/>
          <w:shd w:val="clear" w:color="auto" w:fill="FFFFFF"/>
        </w:rPr>
        <w:t>次抽检信息的通告，未抽检出不合格样品；每季度公开一次“双随机一公开”查处结果信息，让广大市民能够及时了解畜产品质量安全信息，吃到放心食品。二是继续推进财政资金信息公开。2019年度我中心“三公”经费情况已及时在市政府信息公开平台公开。三是对畜产品及饲料集市价格变动情况及原因分析。2018年我中心每周公开</w:t>
      </w:r>
      <w:r>
        <w:rPr>
          <w:rFonts w:hint="eastAsia" w:ascii="仿宋_GB2312" w:hAnsi="微软雅黑" w:eastAsia="仿宋_GB2312" w:cs="宋体"/>
          <w:color w:val="000000"/>
          <w:kern w:val="0"/>
          <w:sz w:val="32"/>
          <w:szCs w:val="32"/>
          <w:shd w:val="clear" w:color="auto" w:fill="FFFFFF"/>
        </w:rPr>
        <w:t>畜产品及饲料集市价格情况</w:t>
      </w:r>
      <w:r>
        <w:rPr>
          <w:rFonts w:hint="eastAsia" w:ascii="仿宋_GB2312" w:hAnsi="微软雅黑" w:eastAsia="仿宋_GB2312" w:cs="宋体"/>
          <w:color w:val="333333"/>
          <w:kern w:val="0"/>
          <w:sz w:val="32"/>
          <w:szCs w:val="32"/>
          <w:shd w:val="clear" w:color="auto" w:fill="FFFFFF"/>
        </w:rPr>
        <w:t>，共公开</w:t>
      </w:r>
      <w:r>
        <w:rPr>
          <w:rFonts w:hint="eastAsia" w:ascii="微软雅黑" w:hAnsi="微软雅黑" w:eastAsia="微软雅黑" w:cs="宋体"/>
          <w:color w:val="333333"/>
          <w:kern w:val="0"/>
          <w:sz w:val="24"/>
          <w:szCs w:val="24"/>
          <w:shd w:val="clear" w:color="auto" w:fill="FFFFFF"/>
        </w:rPr>
        <w:t>50</w:t>
      </w:r>
      <w:r>
        <w:rPr>
          <w:rFonts w:hint="eastAsia" w:ascii="仿宋_GB2312" w:hAnsi="微软雅黑" w:eastAsia="仿宋_GB2312" w:cs="宋体"/>
          <w:color w:val="333333"/>
          <w:kern w:val="0"/>
          <w:sz w:val="32"/>
          <w:szCs w:val="32"/>
          <w:shd w:val="clear" w:color="auto" w:fill="FFFFFF"/>
        </w:rPr>
        <w:t>余条价格信息，生产业务科专门根据统计数据对畜产品及饲料集市价格变动情况及原因分析，有效的引导生产和消费。</w:t>
      </w:r>
    </w:p>
    <w:p>
      <w:pPr>
        <w:widowControl/>
        <w:shd w:val="clear" w:color="auto" w:fill="FFFFFF"/>
        <w:spacing w:line="560" w:lineRule="atLeast"/>
        <w:jc w:val="left"/>
        <w:rPr>
          <w:rFonts w:ascii="微软雅黑" w:hAnsi="微软雅黑" w:eastAsia="微软雅黑" w:cs="宋体"/>
          <w:color w:val="333333"/>
          <w:kern w:val="0"/>
          <w:sz w:val="24"/>
          <w:szCs w:val="24"/>
        </w:rPr>
      </w:pPr>
      <w:r>
        <w:rPr>
          <w:rFonts w:ascii="仿宋_GB2312" w:hAnsi="微软雅黑" w:eastAsia="仿宋_GB2312" w:cs="宋体"/>
          <w:color w:val="333333"/>
          <w:kern w:val="0"/>
          <w:sz w:val="32"/>
          <w:szCs w:val="32"/>
          <w:shd w:val="clear" w:color="auto" w:fill="FFFFFF"/>
        </w:rPr>
        <w:drawing>
          <wp:inline distT="0" distB="0" distL="0" distR="0">
            <wp:extent cx="5274310" cy="2364105"/>
            <wp:effectExtent l="0" t="0" r="2540" b="0"/>
            <wp:docPr id="2" name="图片 2" descr="http://xxgk.anqiu.gov.cn/xxgk/xxgknb/sxmj/202001/W02020070756977079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xxgk.anqiu.gov.cn/xxgk/xxgknb/sxmj/202001/W0202007075697707912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364493"/>
                    </a:xfrm>
                    <a:prstGeom prst="rect">
                      <a:avLst/>
                    </a:prstGeom>
                    <a:noFill/>
                    <a:ln>
                      <a:noFill/>
                    </a:ln>
                  </pic:spPr>
                </pic:pic>
              </a:graphicData>
            </a:graphic>
          </wp:inline>
        </w:drawing>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（四）平台建设情况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一是加强门户网站信息发布与管理工作，严格按照要求对属于主动公开范围的政府信息，在该政府信息形成或者变更之日起</w:t>
      </w:r>
      <w:r>
        <w:rPr>
          <w:rFonts w:hint="eastAsia" w:ascii="微软雅黑" w:hAnsi="微软雅黑" w:eastAsia="微软雅黑" w:cs="宋体"/>
          <w:color w:val="333333"/>
          <w:kern w:val="0"/>
          <w:sz w:val="24"/>
          <w:szCs w:val="24"/>
        </w:rPr>
        <w:t>20</w:t>
      </w:r>
      <w:r>
        <w:rPr>
          <w:rFonts w:hint="eastAsia" w:ascii="仿宋_GB2312" w:hAnsi="微软雅黑" w:eastAsia="仿宋_GB2312" w:cs="宋体"/>
          <w:color w:val="333333"/>
          <w:kern w:val="0"/>
          <w:sz w:val="32"/>
          <w:szCs w:val="32"/>
        </w:rPr>
        <w:t>个工作日内予以公开，做到及时、全面、高效。二是建立健全组织机构，成立政务公开工作领导小组，专人负责信息公开工作。三是加强门户网站建设，明确市政府门户网站为第一公开平台，所有政务信息必须首先经过门户网站公开。</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（五）监督保障情况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一是强化组织领导。我中心领导高度重视政府信息公开工作，形成主要领导亲自抓，分管领导具体抓，专人负责政务公开工作的格局。</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二是完善工作制度。加强信息公开保密审查工作，对公开的政府信息，依据有关规定做好保密审查，</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年，我中心没有发生信息泄密事件，信息监督检查无问题。</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三是加强政务公开培训。我中心制定了《安丘市畜牧业发展中心</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年政务公开培训计划》，</w:t>
      </w:r>
      <w:r>
        <w:rPr>
          <w:rFonts w:hint="eastAsia" w:ascii="仿宋_GB2312" w:hAnsi="微软雅黑" w:eastAsia="仿宋_GB2312" w:cs="宋体"/>
          <w:color w:val="333333"/>
          <w:kern w:val="0"/>
          <w:sz w:val="32"/>
          <w:szCs w:val="32"/>
          <w:shd w:val="clear" w:color="auto" w:fill="FFFFFF"/>
        </w:rPr>
        <w:t>通过学习和培训，进一步提升了全体工作人员的政务公开意识，增强工作能力和水平，提高认识，促进政务公开更好地开展工作。</w:t>
      </w:r>
    </w:p>
    <w:p>
      <w:pPr>
        <w:widowControl/>
        <w:shd w:val="clear" w:color="auto" w:fill="FFFFFF"/>
        <w:spacing w:line="480" w:lineRule="atLeast"/>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drawing>
          <wp:inline distT="0" distB="0" distL="0" distR="0">
            <wp:extent cx="5538470" cy="1966595"/>
            <wp:effectExtent l="0" t="0" r="5080" b="0"/>
            <wp:docPr id="1" name="图片 1" descr="http://xxgk.anqiu.gov.cn/xxgk/xxgknb/sxmj/202001/W020200707569770886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xxgk.anqiu.gov.cn/xxgk/xxgknb/sxmj/202001/W0202007075697708869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41674" cy="1967832"/>
                    </a:xfrm>
                    <a:prstGeom prst="rect">
                      <a:avLst/>
                    </a:prstGeom>
                    <a:noFill/>
                    <a:ln>
                      <a:noFill/>
                    </a:ln>
                  </pic:spPr>
                </pic:pic>
              </a:graphicData>
            </a:graphic>
          </wp:inline>
        </w:drawing>
      </w:r>
    </w:p>
    <w:p>
      <w:pPr>
        <w:widowControl/>
        <w:shd w:val="clear" w:color="auto" w:fill="FFFFFF"/>
        <w:spacing w:line="480" w:lineRule="atLeast"/>
        <w:rPr>
          <w:rFonts w:ascii="微软雅黑" w:hAnsi="微软雅黑" w:eastAsia="微软雅黑" w:cs="宋体"/>
          <w:color w:val="333333"/>
          <w:kern w:val="0"/>
          <w:sz w:val="32"/>
          <w:szCs w:val="32"/>
        </w:rPr>
      </w:pPr>
    </w:p>
    <w:p>
      <w:pPr>
        <w:widowControl/>
        <w:shd w:val="clear" w:color="auto" w:fill="FFFFFF"/>
        <w:spacing w:line="480" w:lineRule="atLeast"/>
        <w:ind w:firstLine="640" w:firstLineChars="200"/>
        <w:rPr>
          <w:rFonts w:hint="eastAsia" w:ascii="楷体_GB2312" w:hAnsi="楷体_GB2312" w:eastAsia="楷体_GB2312" w:cs="楷体_GB2312"/>
          <w:color w:val="333333"/>
          <w:kern w:val="0"/>
          <w:sz w:val="24"/>
          <w:szCs w:val="24"/>
        </w:rPr>
      </w:pPr>
      <w:r>
        <w:rPr>
          <w:rFonts w:hint="eastAsia" w:ascii="楷体_GB2312" w:hAnsi="楷体_GB2312" w:eastAsia="楷体_GB2312" w:cs="楷体_GB2312"/>
          <w:color w:val="333333"/>
          <w:kern w:val="0"/>
          <w:sz w:val="32"/>
          <w:szCs w:val="32"/>
        </w:rPr>
        <w:t>（六）人大代表建议和政协提案办理情况</w:t>
      </w:r>
    </w:p>
    <w:p>
      <w:pPr>
        <w:widowControl/>
        <w:shd w:val="clear" w:color="auto" w:fill="FFFFFF"/>
        <w:spacing w:line="480" w:lineRule="atLeast"/>
        <w:ind w:firstLine="64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2019年，安丘市畜牧业发展中心对市政协十届三次会议《关于加强畜禽粪污资源化利用》（第</w:t>
      </w:r>
      <w:r>
        <w:rPr>
          <w:rFonts w:hint="eastAsia" w:ascii="微软雅黑" w:hAnsi="微软雅黑" w:eastAsia="微软雅黑" w:cs="宋体"/>
          <w:color w:val="333333"/>
          <w:kern w:val="0"/>
          <w:sz w:val="24"/>
          <w:szCs w:val="24"/>
        </w:rPr>
        <w:t>125</w:t>
      </w:r>
      <w:r>
        <w:rPr>
          <w:rFonts w:hint="eastAsia" w:ascii="仿宋_GB2312" w:hAnsi="微软雅黑" w:eastAsia="仿宋_GB2312" w:cs="宋体"/>
          <w:color w:val="333333"/>
          <w:kern w:val="0"/>
          <w:sz w:val="32"/>
          <w:szCs w:val="32"/>
        </w:rPr>
        <w:t>号）提案的答复和安丘市畜牧业发展中心</w:t>
      </w:r>
      <w:r>
        <w:rPr>
          <w:rFonts w:hint="eastAsia" w:ascii="微软雅黑" w:hAnsi="微软雅黑" w:eastAsia="微软雅黑" w:cs="宋体"/>
          <w:color w:val="333333"/>
          <w:kern w:val="0"/>
          <w:sz w:val="24"/>
          <w:szCs w:val="24"/>
        </w:rPr>
        <w:t>2019</w:t>
      </w:r>
      <w:r>
        <w:rPr>
          <w:rFonts w:hint="eastAsia" w:ascii="仿宋_GB2312" w:hAnsi="微软雅黑" w:eastAsia="仿宋_GB2312" w:cs="宋体"/>
          <w:color w:val="333333"/>
          <w:kern w:val="0"/>
          <w:sz w:val="32"/>
          <w:szCs w:val="32"/>
        </w:rPr>
        <w:t>年政协委员提案办理总体情况在市政府门户网站公开。坚持把公众关注的焦点、热点问题，及时地向民众公开。</w:t>
      </w:r>
    </w:p>
    <w:p>
      <w:pPr>
        <w:widowControl/>
        <w:shd w:val="clear" w:color="auto" w:fill="FFFFFF"/>
        <w:wordWrap w:val="0"/>
        <w:spacing w:line="480" w:lineRule="atLeast"/>
        <w:ind w:firstLine="640"/>
        <w:jc w:val="left"/>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（七）工作考核、社会评议和责任追究结果情况。</w:t>
      </w:r>
    </w:p>
    <w:p>
      <w:pPr>
        <w:widowControl/>
        <w:shd w:val="clear" w:color="auto" w:fill="FFFFFF"/>
        <w:wordWrap w:val="0"/>
        <w:spacing w:line="480" w:lineRule="atLeast"/>
        <w:ind w:firstLine="640"/>
        <w:jc w:val="left"/>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 </w:t>
      </w:r>
      <w:r>
        <w:rPr>
          <w:rFonts w:hint="eastAsia" w:ascii="楷体_GB2312" w:hAnsi="微软雅黑" w:eastAsia="楷体_GB2312" w:cs="宋体"/>
          <w:color w:val="333333"/>
          <w:kern w:val="0"/>
          <w:sz w:val="32"/>
          <w:szCs w:val="32"/>
          <w:lang w:val="en-US"/>
        </w:rPr>
        <w:t>1.</w:t>
      </w:r>
      <w:r>
        <w:rPr>
          <w:rFonts w:hint="eastAsia" w:ascii="楷体_GB2312" w:hAnsi="微软雅黑" w:eastAsia="楷体_GB2312" w:cs="宋体"/>
          <w:color w:val="333333"/>
          <w:kern w:val="0"/>
          <w:sz w:val="32"/>
          <w:szCs w:val="32"/>
        </w:rPr>
        <w:t>建立考核通报制度。主动接受市政府政务公开办对畜牧业发展中心政务信息公开情况进行的监督，及时改进发现工作不到位的地方。同时，中心办公室定期对各科室工作进行监督，保证政务信息的时效性与准确性，发现问题立即督促各科室整改，并将整改结果及时反馈给该科室的分管领导与中心主要领导。</w:t>
      </w:r>
    </w:p>
    <w:p>
      <w:pPr>
        <w:widowControl/>
        <w:shd w:val="clear" w:color="auto" w:fill="FFFFFF"/>
        <w:wordWrap w:val="0"/>
        <w:spacing w:line="480" w:lineRule="atLeast"/>
        <w:ind w:firstLine="640"/>
        <w:jc w:val="left"/>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lang w:val="en-US"/>
        </w:rPr>
        <w:t>2.</w:t>
      </w:r>
      <w:r>
        <w:rPr>
          <w:rFonts w:hint="eastAsia" w:ascii="楷体_GB2312" w:hAnsi="微软雅黑" w:eastAsia="楷体_GB2312" w:cs="宋体"/>
          <w:color w:val="333333"/>
          <w:kern w:val="0"/>
          <w:sz w:val="32"/>
          <w:szCs w:val="32"/>
        </w:rPr>
        <w:t>主动听取社会公众意见。一是对于需要向社会进行意见征集的，我中心及时在政府网站公示，同时注明联系电话和邮箱，积极主动听取社会公众的意见与建议。二是对公众对网站信息的疑议，中心及时进行解答。</w:t>
      </w:r>
    </w:p>
    <w:p>
      <w:pPr>
        <w:widowControl/>
        <w:shd w:val="clear" w:color="auto" w:fill="FFFFFF"/>
        <w:wordWrap w:val="0"/>
        <w:spacing w:line="480" w:lineRule="atLeast"/>
        <w:ind w:firstLine="640"/>
        <w:jc w:val="left"/>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lang w:val="en-US"/>
        </w:rPr>
        <w:t>3.</w:t>
      </w:r>
      <w:r>
        <w:rPr>
          <w:rFonts w:hint="eastAsia" w:ascii="楷体_GB2312" w:hAnsi="微软雅黑" w:eastAsia="楷体_GB2312" w:cs="宋体"/>
          <w:color w:val="333333"/>
          <w:kern w:val="0"/>
          <w:sz w:val="32"/>
          <w:szCs w:val="32"/>
        </w:rPr>
        <w:t>责任追究结果情况。</w:t>
      </w:r>
      <w:r>
        <w:rPr>
          <w:rFonts w:hint="eastAsia" w:ascii="楷体_GB2312" w:hAnsi="微软雅黑" w:eastAsia="楷体_GB2312" w:cs="宋体"/>
          <w:color w:val="333333"/>
          <w:kern w:val="0"/>
          <w:sz w:val="32"/>
          <w:szCs w:val="32"/>
          <w:lang w:val="en-US"/>
        </w:rPr>
        <w:t>2019</w:t>
      </w:r>
      <w:r>
        <w:rPr>
          <w:rFonts w:hint="eastAsia" w:ascii="楷体_GB2312" w:hAnsi="微软雅黑" w:eastAsia="楷体_GB2312" w:cs="宋体"/>
          <w:color w:val="333333"/>
          <w:kern w:val="0"/>
          <w:sz w:val="32"/>
          <w:szCs w:val="32"/>
        </w:rPr>
        <w:t>年我中心未出现因信息公开不到位需要进行责任追究的情况。</w:t>
      </w:r>
    </w:p>
    <w:p>
      <w:pPr>
        <w:widowControl/>
        <w:shd w:val="clear" w:color="auto" w:fill="FFFFFF"/>
        <w:spacing w:line="480" w:lineRule="atLeast"/>
        <w:ind w:firstLine="64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shd w:val="clear" w:color="auto" w:fill="FFFFFF"/>
        </w:rPr>
        <w:t>二、主动公开政府信息情况</w:t>
      </w:r>
    </w:p>
    <w:tbl>
      <w:tblPr>
        <w:tblStyle w:val="6"/>
        <w:tblW w:w="8715" w:type="dxa"/>
        <w:jc w:val="center"/>
        <w:shd w:val="clear" w:color="auto" w:fill="FFFFFF"/>
        <w:tblLayout w:type="autofit"/>
        <w:tblCellMar>
          <w:top w:w="0" w:type="dxa"/>
          <w:left w:w="0" w:type="dxa"/>
          <w:bottom w:w="0" w:type="dxa"/>
          <w:right w:w="0" w:type="dxa"/>
        </w:tblCellMar>
      </w:tblPr>
      <w:tblGrid>
        <w:gridCol w:w="2987"/>
        <w:gridCol w:w="240"/>
        <w:gridCol w:w="2045"/>
        <w:gridCol w:w="1470"/>
        <w:gridCol w:w="1973"/>
      </w:tblGrid>
      <w:tr>
        <w:tblPrEx>
          <w:shd w:val="clear" w:color="auto" w:fill="FFFFFF"/>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本年新制作数量</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w:t>
            </w:r>
            <w:r>
              <w:rPr>
                <w:rFonts w:hint="eastAsia" w:ascii="微软雅黑" w:hAnsi="微软雅黑" w:eastAsia="微软雅黑" w:cs="宋体"/>
                <w:color w:val="333333"/>
                <w:kern w:val="0"/>
                <w:sz w:val="24"/>
                <w:szCs w:val="24"/>
              </w:rPr>
              <w:br w:type="textWrapping"/>
            </w:r>
            <w:r>
              <w:rPr>
                <w:rFonts w:hint="eastAsia" w:ascii="宋体" w:hAnsi="宋体" w:eastAsia="宋体" w:cs="宋体"/>
                <w:color w:val="000000"/>
                <w:kern w:val="0"/>
                <w:sz w:val="24"/>
                <w:szCs w:val="24"/>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对外公开</w:t>
            </w:r>
          </w:p>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　</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采购项目数量</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　</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jc w:val="center"/>
        </w:trPr>
        <w:tc>
          <w:tcPr>
            <w:tcW w:w="3075" w:type="dxa"/>
            <w:tcBorders>
              <w:top w:val="nil"/>
              <w:left w:val="nil"/>
              <w:bottom w:val="nil"/>
              <w:right w:val="nil"/>
            </w:tcBorders>
            <w:shd w:val="clear" w:color="auto" w:fill="FFFFFF"/>
            <w:vAlign w:val="center"/>
          </w:tcPr>
          <w:p>
            <w:pPr>
              <w:widowControl/>
              <w:spacing w:line="0" w:lineRule="atLeast"/>
              <w:jc w:val="left"/>
              <w:rPr>
                <w:rFonts w:ascii="宋体" w:hAnsi="宋体" w:eastAsia="宋体" w:cs="宋体"/>
                <w:kern w:val="0"/>
                <w:sz w:val="24"/>
                <w:szCs w:val="24"/>
              </w:rPr>
            </w:pPr>
            <w:r>
              <w:rPr>
                <w:rFonts w:ascii="宋体" w:hAnsi="宋体" w:eastAsia="宋体" w:cs="宋体"/>
                <w:kern w:val="0"/>
                <w:sz w:val="24"/>
                <w:szCs w:val="24"/>
              </w:rPr>
              <w:t> </w:t>
            </w:r>
          </w:p>
        </w:tc>
        <w:tc>
          <w:tcPr>
            <w:tcW w:w="15" w:type="dxa"/>
            <w:tcBorders>
              <w:top w:val="nil"/>
              <w:left w:val="nil"/>
              <w:bottom w:val="nil"/>
              <w:right w:val="nil"/>
            </w:tcBorders>
            <w:shd w:val="clear" w:color="auto" w:fill="FFFFFF"/>
            <w:vAlign w:val="center"/>
          </w:tcPr>
          <w:p>
            <w:pPr>
              <w:widowControl/>
              <w:spacing w:line="0" w:lineRule="atLeast"/>
              <w:jc w:val="left"/>
              <w:rPr>
                <w:rFonts w:ascii="宋体" w:hAnsi="宋体" w:eastAsia="宋体" w:cs="宋体"/>
                <w:kern w:val="0"/>
                <w:sz w:val="24"/>
                <w:szCs w:val="24"/>
              </w:rPr>
            </w:pPr>
            <w:r>
              <w:rPr>
                <w:rFonts w:ascii="宋体" w:hAnsi="宋体" w:eastAsia="宋体" w:cs="宋体"/>
                <w:kern w:val="0"/>
                <w:sz w:val="24"/>
                <w:szCs w:val="24"/>
              </w:rPr>
              <w:t> </w:t>
            </w:r>
          </w:p>
        </w:tc>
        <w:tc>
          <w:tcPr>
            <w:tcW w:w="2100" w:type="dxa"/>
            <w:tcBorders>
              <w:top w:val="nil"/>
              <w:left w:val="nil"/>
              <w:bottom w:val="nil"/>
              <w:right w:val="nil"/>
            </w:tcBorders>
            <w:shd w:val="clear" w:color="auto" w:fill="FFFFFF"/>
            <w:vAlign w:val="center"/>
          </w:tcPr>
          <w:p>
            <w:pPr>
              <w:widowControl/>
              <w:spacing w:line="0" w:lineRule="atLeast"/>
              <w:jc w:val="left"/>
              <w:rPr>
                <w:rFonts w:ascii="宋体" w:hAnsi="宋体" w:eastAsia="宋体" w:cs="宋体"/>
                <w:kern w:val="0"/>
                <w:sz w:val="24"/>
                <w:szCs w:val="24"/>
              </w:rPr>
            </w:pPr>
            <w:r>
              <w:rPr>
                <w:rFonts w:ascii="宋体" w:hAnsi="宋体" w:eastAsia="宋体" w:cs="宋体"/>
                <w:kern w:val="0"/>
                <w:sz w:val="24"/>
                <w:szCs w:val="24"/>
              </w:rPr>
              <w:t> </w:t>
            </w:r>
          </w:p>
        </w:tc>
        <w:tc>
          <w:tcPr>
            <w:tcW w:w="1500" w:type="dxa"/>
            <w:tcBorders>
              <w:top w:val="nil"/>
              <w:left w:val="nil"/>
              <w:bottom w:val="nil"/>
              <w:right w:val="nil"/>
            </w:tcBorders>
            <w:shd w:val="clear" w:color="auto" w:fill="FFFFFF"/>
            <w:vAlign w:val="center"/>
          </w:tcPr>
          <w:p>
            <w:pPr>
              <w:widowControl/>
              <w:spacing w:line="0" w:lineRule="atLeast"/>
              <w:jc w:val="left"/>
              <w:rPr>
                <w:rFonts w:ascii="宋体" w:hAnsi="宋体" w:eastAsia="宋体" w:cs="宋体"/>
                <w:kern w:val="0"/>
                <w:sz w:val="24"/>
                <w:szCs w:val="24"/>
              </w:rPr>
            </w:pPr>
            <w:r>
              <w:rPr>
                <w:rFonts w:ascii="宋体" w:hAnsi="宋体" w:eastAsia="宋体" w:cs="宋体"/>
                <w:kern w:val="0"/>
                <w:sz w:val="24"/>
                <w:szCs w:val="24"/>
              </w:rPr>
              <w:t> </w:t>
            </w:r>
          </w:p>
        </w:tc>
        <w:tc>
          <w:tcPr>
            <w:tcW w:w="2025" w:type="dxa"/>
            <w:tcBorders>
              <w:top w:val="nil"/>
              <w:left w:val="nil"/>
              <w:bottom w:val="nil"/>
              <w:right w:val="nil"/>
            </w:tcBorders>
            <w:shd w:val="clear" w:color="auto" w:fill="FFFFFF"/>
            <w:vAlign w:val="center"/>
          </w:tcPr>
          <w:p>
            <w:pPr>
              <w:widowControl/>
              <w:spacing w:line="0" w:lineRule="atLeast"/>
              <w:jc w:val="left"/>
              <w:rPr>
                <w:rFonts w:ascii="宋体" w:hAnsi="宋体" w:eastAsia="宋体" w:cs="宋体"/>
                <w:kern w:val="0"/>
                <w:sz w:val="24"/>
                <w:szCs w:val="24"/>
              </w:rPr>
            </w:pPr>
            <w:r>
              <w:rPr>
                <w:rFonts w:ascii="宋体" w:hAnsi="宋体" w:eastAsia="宋体" w:cs="宋体"/>
                <w:kern w:val="0"/>
                <w:sz w:val="24"/>
                <w:szCs w:val="24"/>
              </w:rPr>
              <w:t> </w:t>
            </w:r>
          </w:p>
        </w:tc>
      </w:tr>
    </w:tbl>
    <w:p>
      <w:pPr>
        <w:widowControl/>
        <w:shd w:val="clear" w:color="auto" w:fill="FFFFFF"/>
        <w:spacing w:line="480" w:lineRule="atLeast"/>
        <w:ind w:left="-199" w:firstLine="620"/>
        <w:rPr>
          <w:rFonts w:ascii="黑体" w:hAnsi="黑体" w:eastAsia="黑体" w:cs="宋体"/>
          <w:b/>
          <w:bCs/>
          <w:color w:val="333333"/>
          <w:kern w:val="0"/>
          <w:sz w:val="32"/>
          <w:szCs w:val="32"/>
          <w:shd w:val="clear" w:color="auto" w:fill="FFFFFF"/>
        </w:rPr>
      </w:pPr>
    </w:p>
    <w:p>
      <w:pPr>
        <w:widowControl/>
        <w:shd w:val="clear" w:color="auto" w:fill="FFFFFF"/>
        <w:spacing w:line="480" w:lineRule="atLeast"/>
        <w:ind w:left="-199" w:firstLine="620"/>
        <w:rPr>
          <w:rFonts w:ascii="黑体" w:hAnsi="黑体" w:eastAsia="黑体" w:cs="宋体"/>
          <w:b/>
          <w:bCs/>
          <w:color w:val="333333"/>
          <w:kern w:val="0"/>
          <w:sz w:val="32"/>
          <w:szCs w:val="32"/>
          <w:shd w:val="clear" w:color="auto" w:fill="FFFFFF"/>
        </w:rPr>
      </w:pPr>
    </w:p>
    <w:p>
      <w:pPr>
        <w:widowControl/>
        <w:shd w:val="clear" w:color="auto" w:fill="FFFFFF"/>
        <w:spacing w:line="480" w:lineRule="atLeast"/>
        <w:ind w:left="-199" w:firstLine="620"/>
        <w:rPr>
          <w:rFonts w:ascii="黑体" w:hAnsi="黑体" w:eastAsia="黑体" w:cs="宋体"/>
          <w:b/>
          <w:bCs/>
          <w:color w:val="333333"/>
          <w:kern w:val="0"/>
          <w:sz w:val="32"/>
          <w:szCs w:val="32"/>
          <w:shd w:val="clear" w:color="auto" w:fill="FFFFFF"/>
        </w:rPr>
      </w:pPr>
    </w:p>
    <w:p>
      <w:pPr>
        <w:widowControl/>
        <w:shd w:val="clear" w:color="auto" w:fill="FFFFFF"/>
        <w:spacing w:line="480" w:lineRule="atLeast"/>
        <w:ind w:left="-199" w:firstLine="620"/>
        <w:rPr>
          <w:rFonts w:ascii="黑体" w:hAnsi="黑体" w:eastAsia="黑体" w:cs="宋体"/>
          <w:b/>
          <w:bCs/>
          <w:color w:val="333333"/>
          <w:kern w:val="0"/>
          <w:sz w:val="32"/>
          <w:szCs w:val="32"/>
          <w:shd w:val="clear" w:color="auto" w:fill="FFFFFF"/>
        </w:rPr>
      </w:pPr>
    </w:p>
    <w:p>
      <w:pPr>
        <w:widowControl/>
        <w:shd w:val="clear" w:color="auto" w:fill="FFFFFF"/>
        <w:spacing w:line="480" w:lineRule="atLeast"/>
        <w:ind w:left="-199" w:firstLine="620"/>
        <w:rPr>
          <w:rFonts w:ascii="微软雅黑" w:hAnsi="微软雅黑" w:eastAsia="微软雅黑" w:cs="宋体"/>
          <w:color w:val="333333"/>
          <w:kern w:val="0"/>
          <w:sz w:val="24"/>
          <w:szCs w:val="24"/>
        </w:rPr>
      </w:pPr>
      <w:r>
        <w:rPr>
          <w:rFonts w:hint="eastAsia" w:ascii="黑体" w:hAnsi="黑体" w:eastAsia="黑体" w:cs="宋体"/>
          <w:b/>
          <w:bCs/>
          <w:color w:val="333333"/>
          <w:kern w:val="0"/>
          <w:sz w:val="32"/>
          <w:szCs w:val="32"/>
          <w:shd w:val="clear" w:color="auto" w:fill="FFFFFF"/>
        </w:rPr>
        <w:t>三、收到和处理政府信息公开申请情况</w:t>
      </w:r>
    </w:p>
    <w:tbl>
      <w:tblPr>
        <w:tblStyle w:val="6"/>
        <w:tblW w:w="9075" w:type="dxa"/>
        <w:jc w:val="center"/>
        <w:tblLayout w:type="autofit"/>
        <w:tblCellMar>
          <w:top w:w="0" w:type="dxa"/>
          <w:left w:w="0" w:type="dxa"/>
          <w:bottom w:w="0" w:type="dxa"/>
          <w:right w:w="0" w:type="dxa"/>
        </w:tblCellMar>
      </w:tblPr>
      <w:tblGrid>
        <w:gridCol w:w="636"/>
        <w:gridCol w:w="1405"/>
        <w:gridCol w:w="2784"/>
        <w:gridCol w:w="840"/>
        <w:gridCol w:w="561"/>
        <w:gridCol w:w="561"/>
        <w:gridCol w:w="561"/>
        <w:gridCol w:w="561"/>
        <w:gridCol w:w="535"/>
        <w:gridCol w:w="631"/>
      </w:tblGrid>
      <w:tr>
        <w:tblPrEx>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（本列数据的勾稽关系为：第一项加第二项之和，</w:t>
            </w:r>
          </w:p>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申请人情况</w:t>
            </w:r>
          </w:p>
        </w:tc>
      </w:tr>
      <w:tr>
        <w:tblPrEx>
          <w:tblCellMar>
            <w:top w:w="0" w:type="dxa"/>
            <w:left w:w="0" w:type="dxa"/>
            <w:bottom w:w="0" w:type="dxa"/>
            <w:right w:w="0" w:type="dxa"/>
          </w:tblCellMar>
        </w:tblPrEx>
        <w:trPr>
          <w:trHeight w:val="336"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8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自然人</w:t>
            </w:r>
          </w:p>
        </w:tc>
        <w:tc>
          <w:tcPr>
            <w:tcW w:w="280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法人或其他组织</w:t>
            </w:r>
          </w:p>
        </w:tc>
        <w:tc>
          <w:tcPr>
            <w:tcW w:w="6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总计</w:t>
            </w:r>
          </w:p>
        </w:tc>
      </w:tr>
      <w:tr>
        <w:tblPrEx>
          <w:tblCellMar>
            <w:top w:w="0" w:type="dxa"/>
            <w:left w:w="0" w:type="dxa"/>
            <w:bottom w:w="0" w:type="dxa"/>
            <w:right w:w="0" w:type="dxa"/>
          </w:tblCellMar>
        </w:tblPrEx>
        <w:trPr>
          <w:trHeight w:val="97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商业企业</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科研机构</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社会公益组织</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法律服务机构</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left="-63" w:right="-13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r>
      <w:tr>
        <w:tblPrEx>
          <w:tblCellMar>
            <w:top w:w="0" w:type="dxa"/>
            <w:left w:w="0" w:type="dxa"/>
            <w:bottom w:w="0" w:type="dxa"/>
            <w:right w:w="0" w:type="dxa"/>
          </w:tblCellMar>
        </w:tblPrEx>
        <w:trPr>
          <w:trHeight w:val="269" w:hRule="atLeast"/>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一、本年新收政府信息公开申请数量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r>
      <w:tr>
        <w:tblPrEx>
          <w:tblCellMar>
            <w:top w:w="0" w:type="dxa"/>
            <w:left w:w="0" w:type="dxa"/>
            <w:bottom w:w="0" w:type="dxa"/>
            <w:right w:w="0" w:type="dxa"/>
          </w:tblCellMar>
        </w:tblPrEx>
        <w:trPr>
          <w:trHeight w:val="284" w:hRule="atLeast"/>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二、上年结转政府信息公开申请数量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355" w:hRule="atLeast"/>
          <w:jc w:val="center"/>
        </w:trPr>
        <w:tc>
          <w:tcPr>
            <w:tcW w:w="5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三、本年度办理结果</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（一）予以公开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r>
      <w:tr>
        <w:tblPrEx>
          <w:tblCellMar>
            <w:top w:w="0" w:type="dxa"/>
            <w:left w:w="0" w:type="dxa"/>
            <w:bottom w:w="0" w:type="dxa"/>
            <w:right w:w="0" w:type="dxa"/>
          </w:tblCellMar>
        </w:tblPrEx>
        <w:trPr>
          <w:trHeight w:val="357"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（二）部分公开（区分处理的，只计这一情形，不计其他情形）</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（三）不予公开</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1.属于国家秘密</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2.其他法律行政法规禁止公开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3.危及“三安全一稳定”</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4.保护第三方合法权益</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5.属于三类内部事务信息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6.属于四类过程性信息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7.属于行政执法案卷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8.属于行政查询事项</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（四）无法提供</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1.本机关不掌握相关政府信息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2.没有现成信息需要另行制作</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3.补正后申请内容仍不明确</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365"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（五）不予处理</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1.信访举报投诉类申请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3.要求提供公开出版物</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4.无正当理由大量反复申请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5.要求行政机关确认或重新</w:t>
            </w:r>
          </w:p>
          <w:p>
            <w:r>
              <w:rPr>
                <w:rFonts w:hint="eastAsia"/>
              </w:rPr>
              <w:t>出具已获取信息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330"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（六）其他处理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（七）总计</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r>
      <w:tr>
        <w:tblPrEx>
          <w:tblCellMar>
            <w:top w:w="0" w:type="dxa"/>
            <w:left w:w="0" w:type="dxa"/>
            <w:bottom w:w="0" w:type="dxa"/>
            <w:right w:w="0" w:type="dxa"/>
          </w:tblCellMar>
        </w:tblPrEx>
        <w:trPr>
          <w:trHeight w:val="264" w:hRule="atLeast"/>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四、结转下年度继续办理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bl>
    <w:p>
      <w:pPr>
        <w:widowControl/>
        <w:shd w:val="clear" w:color="auto" w:fill="FFFFFF"/>
        <w:spacing w:line="480" w:lineRule="atLeast"/>
        <w:ind w:firstLine="420"/>
        <w:rPr>
          <w:rFonts w:ascii="黑体" w:hAnsi="黑体" w:eastAsia="黑体" w:cs="宋体"/>
          <w:color w:val="333333"/>
          <w:kern w:val="0"/>
          <w:sz w:val="32"/>
          <w:szCs w:val="32"/>
          <w:shd w:val="clear" w:color="auto" w:fill="FFFFFF"/>
        </w:rPr>
      </w:pPr>
    </w:p>
    <w:p>
      <w:pPr>
        <w:widowControl/>
        <w:shd w:val="clear" w:color="auto" w:fill="FFFFFF"/>
        <w:spacing w:line="480" w:lineRule="atLeast"/>
        <w:ind w:firstLine="420"/>
        <w:rPr>
          <w:rFonts w:ascii="黑体" w:hAnsi="黑体" w:eastAsia="黑体" w:cs="宋体"/>
          <w:color w:val="333333"/>
          <w:kern w:val="0"/>
          <w:sz w:val="32"/>
          <w:szCs w:val="32"/>
          <w:shd w:val="clear" w:color="auto" w:fill="FFFFFF"/>
        </w:rPr>
      </w:pPr>
    </w:p>
    <w:p>
      <w:pPr>
        <w:widowControl/>
        <w:shd w:val="clear" w:color="auto" w:fill="FFFFFF"/>
        <w:spacing w:line="480" w:lineRule="atLeast"/>
        <w:ind w:firstLine="420"/>
        <w:rPr>
          <w:rFonts w:ascii="黑体" w:hAnsi="黑体" w:eastAsia="黑体" w:cs="宋体"/>
          <w:color w:val="333333"/>
          <w:kern w:val="0"/>
          <w:sz w:val="32"/>
          <w:szCs w:val="32"/>
          <w:shd w:val="clear" w:color="auto" w:fill="FFFFFF"/>
        </w:rPr>
      </w:pPr>
    </w:p>
    <w:p>
      <w:pPr>
        <w:widowControl/>
        <w:shd w:val="clear" w:color="auto" w:fill="FFFFFF"/>
        <w:spacing w:line="48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shd w:val="clear" w:color="auto" w:fill="FFFFFF"/>
        </w:rPr>
        <w:t>四、政府信息公开行政复议、行政诉讼情况</w:t>
      </w:r>
    </w:p>
    <w:p>
      <w:pPr>
        <w:widowControl/>
        <w:shd w:val="clear" w:color="auto" w:fill="FFFFFF"/>
        <w:spacing w:line="480" w:lineRule="atLeast"/>
        <w:ind w:firstLine="42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tbl>
      <w:tblPr>
        <w:tblStyle w:val="6"/>
        <w:tblW w:w="9075"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6"/>
        <w:gridCol w:w="606"/>
        <w:gridCol w:w="607"/>
        <w:gridCol w:w="607"/>
      </w:tblGrid>
      <w:tr>
        <w:tblPrEx>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行政诉讼</w:t>
            </w:r>
          </w:p>
        </w:tc>
      </w:tr>
      <w:tr>
        <w:tblPrEx>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480" w:lineRule="atLeas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43" w:right="-132"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82" w:right="-9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480" w:lineRule="atLeas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w:t>
            </w:r>
          </w:p>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复议后起诉</w:t>
            </w:r>
          </w:p>
        </w:tc>
      </w:tr>
      <w:tr>
        <w:tblPrEx>
          <w:tblCellMar>
            <w:top w:w="0" w:type="dxa"/>
            <w:left w:w="0" w:type="dxa"/>
            <w:bottom w:w="0" w:type="dxa"/>
            <w:right w:w="0"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05" w:right="-12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86" w:right="-8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p>
            <w:pPr>
              <w:widowControl/>
              <w:spacing w:line="480" w:lineRule="atLeas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480" w:lineRule="atLeas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99" w:right="-7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480" w:lineRule="atLeas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其他</w:t>
            </w:r>
          </w:p>
          <w:p>
            <w:pPr>
              <w:widowControl/>
              <w:spacing w:line="480" w:lineRule="atLeas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67" w:right="-105" w:hanging="2"/>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bl>
    <w:p>
      <w:pPr>
        <w:widowControl/>
        <w:shd w:val="clear" w:color="auto" w:fill="FFFFFF"/>
        <w:spacing w:line="560" w:lineRule="atLeast"/>
        <w:ind w:firstLine="482"/>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60" w:lineRule="atLeast"/>
        <w:ind w:firstLine="482"/>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 </w:t>
      </w:r>
      <w:r>
        <w:rPr>
          <w:rFonts w:hint="eastAsia" w:ascii="黑体" w:hAnsi="黑体" w:eastAsia="黑体" w:cs="宋体"/>
          <w:color w:val="333333"/>
          <w:kern w:val="0"/>
          <w:sz w:val="32"/>
          <w:szCs w:val="32"/>
        </w:rPr>
        <w:t>五、政府信息公开工作存在的主要问题及改进措施</w:t>
      </w:r>
      <w:r>
        <w:rPr>
          <w:rFonts w:hint="eastAsia" w:ascii="微软雅黑" w:hAnsi="微软雅黑" w:eastAsia="微软雅黑" w:cs="宋体"/>
          <w:color w:val="333333"/>
          <w:kern w:val="0"/>
          <w:sz w:val="24"/>
          <w:szCs w:val="24"/>
        </w:rPr>
        <w:t> </w:t>
      </w:r>
    </w:p>
    <w:p>
      <w:pPr>
        <w:widowControl/>
        <w:shd w:val="clear" w:color="auto" w:fill="FFFFFF"/>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（一）存在问题</w:t>
      </w:r>
      <w:r>
        <w:rPr>
          <w:rFonts w:hint="eastAsia" w:ascii="微软雅黑" w:hAnsi="微软雅黑" w:eastAsia="微软雅黑" w:cs="宋体"/>
          <w:color w:val="333333"/>
          <w:kern w:val="0"/>
          <w:sz w:val="24"/>
          <w:szCs w:val="24"/>
        </w:rPr>
        <w:t> </w:t>
      </w:r>
    </w:p>
    <w:p>
      <w:pPr>
        <w:widowControl/>
        <w:shd w:val="clear" w:color="auto" w:fill="FFFFFF"/>
        <w:spacing w:line="480" w:lineRule="atLeast"/>
        <w:ind w:firstLine="8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2019年，我中心政务信息公开工作虽然取得了一定进展，但离市委、市政府和人民群众的要求还有一定的差距。一是</w:t>
      </w:r>
      <w:r>
        <w:rPr>
          <w:rFonts w:ascii="仿宋_GB2312" w:hAnsi="宋体" w:eastAsia="仿宋_GB2312" w:cs="仿宋_GB2312"/>
          <w:i w:val="0"/>
          <w:iCs w:val="0"/>
          <w:caps w:val="0"/>
          <w:color w:val="333333"/>
          <w:spacing w:val="0"/>
          <w:kern w:val="0"/>
          <w:sz w:val="32"/>
          <w:szCs w:val="32"/>
          <w:shd w:val="clear" w:fill="FFFFFF"/>
          <w:lang w:val="en-US" w:eastAsia="zh-CN" w:bidi="ar"/>
        </w:rPr>
        <w:t>政府信息公开人员业务不熟练，主动公开政府信息的意识还有待进一步加强</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宋体"/>
          <w:color w:val="333333"/>
          <w:kern w:val="0"/>
          <w:sz w:val="32"/>
          <w:szCs w:val="32"/>
        </w:rPr>
        <w:t>二是政务信息公开的内容还不够全面，三是信息公开更新还不够及时。</w:t>
      </w:r>
    </w:p>
    <w:p>
      <w:pPr>
        <w:widowControl/>
        <w:shd w:val="clear" w:color="auto" w:fill="FFFFFF"/>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（二）改进措施</w:t>
      </w:r>
      <w:r>
        <w:rPr>
          <w:rFonts w:hint="eastAsia" w:ascii="微软雅黑" w:hAnsi="微软雅黑" w:eastAsia="微软雅黑" w:cs="宋体"/>
          <w:color w:val="333333"/>
          <w:kern w:val="0"/>
          <w:sz w:val="24"/>
          <w:szCs w:val="24"/>
        </w:rPr>
        <w:t> </w:t>
      </w:r>
    </w:p>
    <w:p>
      <w:pPr>
        <w:widowControl/>
        <w:shd w:val="clear" w:color="auto" w:fill="FFFFFF"/>
        <w:spacing w:line="480" w:lineRule="atLeast"/>
        <w:ind w:firstLine="640" w:firstLineChars="200"/>
        <w:jc w:val="left"/>
        <w:rPr>
          <w:rFonts w:hint="eastAsia" w:ascii="仿宋_GB2312" w:hAnsi="微软雅黑" w:eastAsia="仿宋_GB2312" w:cs="宋体"/>
          <w:color w:val="333333"/>
          <w:kern w:val="0"/>
          <w:sz w:val="32"/>
          <w:szCs w:val="32"/>
        </w:rPr>
      </w:pPr>
      <w:bookmarkStart w:id="0" w:name="_GoBack"/>
      <w:bookmarkEnd w:id="0"/>
      <w:r>
        <w:rPr>
          <w:rFonts w:hint="eastAsia" w:ascii="仿宋_GB2312" w:hAnsi="微软雅黑" w:eastAsia="仿宋_GB2312" w:cs="宋体"/>
          <w:color w:val="333333"/>
          <w:kern w:val="0"/>
          <w:sz w:val="32"/>
          <w:szCs w:val="32"/>
        </w:rPr>
        <w:t>一是</w:t>
      </w:r>
      <w:r>
        <w:rPr>
          <w:rFonts w:hint="eastAsia" w:ascii="仿宋_GB2312" w:hAnsi="微软雅黑" w:eastAsia="仿宋_GB2312" w:cs="宋体"/>
          <w:color w:val="333333"/>
          <w:kern w:val="0"/>
          <w:sz w:val="32"/>
          <w:szCs w:val="32"/>
          <w:lang w:val="en-US" w:eastAsia="zh-CN"/>
        </w:rPr>
        <w:t>通过宣传培训考核等方式，提高主动公开政府信息的积极性。鼓励广大干部、群众积极参与信息发布的监督，建立长效的监督管理机制。</w:t>
      </w:r>
    </w:p>
    <w:p>
      <w:pPr>
        <w:widowControl/>
        <w:shd w:val="clear" w:color="auto" w:fill="FFFFFF"/>
        <w:spacing w:line="480" w:lineRule="atLeast"/>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是加强保密审查，扩展公开范围。对照《条例》的具体要求，认真清理政府信息公开事项，查漏补缺，修订信息公开指南和目录，确保应公开的政务信息全部公开。同时严把质量关、保密审查关，依据有关法律、法规严格审核公开内容，确保政府信息公开不影响国家安全、公共安全、经济安全和社会稳定，真正体现公开、公平、公正。</w:t>
      </w:r>
      <w:r>
        <w:rPr>
          <w:rFonts w:hint="eastAsia" w:ascii="微软雅黑" w:hAnsi="微软雅黑" w:eastAsia="微软雅黑" w:cs="宋体"/>
          <w:color w:val="333333"/>
          <w:kern w:val="0"/>
          <w:sz w:val="24"/>
          <w:szCs w:val="24"/>
        </w:rPr>
        <w:t> </w:t>
      </w:r>
    </w:p>
    <w:p>
      <w:pPr>
        <w:widowControl/>
        <w:shd w:val="clear" w:color="auto" w:fill="FFFFFF"/>
        <w:spacing w:line="480" w:lineRule="atLeast"/>
        <w:ind w:firstLine="640" w:firstLineChars="20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shd w:val="clear" w:color="auto" w:fill="FFFFFF"/>
        </w:rPr>
        <w:t>六、其他需要报告的事项</w:t>
      </w:r>
    </w:p>
    <w:p>
      <w:pPr>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18042"/>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F4"/>
    <w:rsid w:val="00474868"/>
    <w:rsid w:val="006F3122"/>
    <w:rsid w:val="007341CB"/>
    <w:rsid w:val="007A6C44"/>
    <w:rsid w:val="00E65005"/>
    <w:rsid w:val="00F523F4"/>
    <w:rsid w:val="34412F39"/>
    <w:rsid w:val="590948E6"/>
    <w:rsid w:val="6F18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rFonts w:hint="eastAsia" w:ascii="微软雅黑" w:hAnsi="微软雅黑" w:eastAsia="微软雅黑" w:cs="微软雅黑"/>
      <w:color w:val="800080"/>
      <w:u w:val="none"/>
    </w:rPr>
  </w:style>
  <w:style w:type="character" w:styleId="9">
    <w:name w:val="Hyperlink"/>
    <w:basedOn w:val="7"/>
    <w:semiHidden/>
    <w:unhideWhenUsed/>
    <w:uiPriority w:val="99"/>
    <w:rPr>
      <w:rFonts w:ascii="微软雅黑" w:hAnsi="微软雅黑" w:eastAsia="微软雅黑" w:cs="微软雅黑"/>
      <w:color w:val="0000FF"/>
      <w:u w:val="none"/>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uiPriority w:val="99"/>
    <w:rPr>
      <w:sz w:val="18"/>
      <w:szCs w:val="18"/>
    </w:rPr>
  </w:style>
  <w:style w:type="character" w:customStyle="1" w:styleId="13">
    <w:name w:val="hover12"/>
    <w:basedOn w:val="7"/>
    <w:qFormat/>
    <w:uiPriority w:val="0"/>
    <w:rPr>
      <w:shd w:val="clear" w:fill="003D9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537</Words>
  <Characters>3063</Characters>
  <Lines>25</Lines>
  <Paragraphs>7</Paragraphs>
  <TotalTime>1</TotalTime>
  <ScaleCrop>false</ScaleCrop>
  <LinksUpToDate>false</LinksUpToDate>
  <CharactersWithSpaces>3593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2020-07-21T02:30:00Z</dcterms:created>
  <dc:creator>xb21cn</dc:creator>
  <cp:lastModifiedBy>njj</cp:lastModifiedBy>
  <cp:lastPrinted>2020-07-21T02:41:00Z</cp:lastPrinted>
  <dcterms:modified xsi:type="dcterms:W3CDTF">2021-05-31T02:33:34Z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2FA9075A43794929B66DF18636962276</vt:lpwstr>
  </property>
</Properties>
</file>