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4"/>
          <w:szCs w:val="44"/>
          <w:shd w:val="clear" w:fill="FFFFFF"/>
        </w:rPr>
        <w:t>安丘市文化和旅游局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4"/>
          <w:szCs w:val="44"/>
          <w:shd w:val="clear" w:fill="FFFFFF"/>
        </w:rPr>
        <w:t>2019年政府信息公开工作年度报告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一、总体情况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2019年，安丘市文化和旅游局全面推进政务公开工作，根据《中华人民共和国政府信息公开条例》和《安丘市人民政府办公室关于做好2019年政府信息公开工作年度报告编制发布和报送工作的通知》要求，特编制2019年度安丘市文化和旅游局政府信息公开工作年度报告并向社会公布。报告中所列数据的统计期限自2019年1月1日起至2019年12月31日止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（一）主动公开情况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2019年，我局以公正便民、透明公开、勤政廉政为基本要求，完善日常政务信息公开工作，加强了对行政权力的民主监督，方便了群众办事，提高了业务工作推进效率。全年在市政府门户网站主动公开更新各类政府信息78条，其中按信息类别分类：组织机构类信息8条;政策文件类信息11条;工作信息16条；执行公开信息8条；管理公开1条；结果公开9条；政务公开基础建设信息8条；重点领域（财税审计、重大建设项目、社会公益事业）信息17条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65420" cy="3766185"/>
            <wp:effectExtent l="0" t="0" r="11430" b="5715"/>
            <wp:docPr id="2" name="图片 2" descr="微信图片_2020072017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201736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（二）依申请公开情况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2019年，共收到公民申请公开政府信息的申请1个，并在规定时间内以申请人申请的形式发送了政府信息公开告知书，进行了明确答复和公开。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（三）平台建设情况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充分发挥市政府门户网站的信息公开第一平台作用。向广大市民及时公开和发布重要信息，确保信息及时、准确、快速向社会公开，保证我市文化旅游信息工作得以高效开展。此外，积极通过向各类报纸发稿等途径，扩大信息宣传面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）监督保障情况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1.建立考核通报制度。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按照政府信息公开保密审查制度要求，对拟公开的各类信息逐级进行把关审核，做好公开前保密审查工作，确保“涉密信息不上网、上网信息不涉密”。积极做好保密自查，2019年未发生涉密信息泄密问题。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主动接受市政府政务公开办对我局政务信息公开情况进行的监督，对发现工作不到位的地方，我局及时改进。同时，我局由办公室定期对各科室工作进行监督，保证政务信息的时效性与准确性，发现问题督促各科室立即整改，并将整改结果及时反馈给该科室的分管领导与局主要领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主动听取社会公众意见。一是对于需要向社会进行意见征集的，我局及时在部门网站和政府网站进行公示，并注明联系电话和邮箱，积极主动听取社会公众的意见与建议，及时进行解答。二积极推进了我局各所属事业单位政府信息公开工作，积极调度和规范市文化馆、图书馆、博物馆等事业单位政府信息公开内容，广泛接受社会监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3.责任追究结果情况。2019年我局未出现因信息公开不到位需要进行责任追究的情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况。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（五）人大代表建议和政协提案办理情况。设立专门栏目，集中发布人大代表建议和政协提案办理结果情况，统一规范发布格式，并单独增加检索功能。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年，共发布政协提案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件。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二、主动公开政府信息情况 </w:t>
      </w:r>
    </w:p>
    <w:tbl>
      <w:tblPr>
        <w:tblStyle w:val="3"/>
        <w:tblW w:w="836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89"/>
        <w:gridCol w:w="894"/>
        <w:gridCol w:w="2054"/>
        <w:gridCol w:w="1466"/>
        <w:gridCol w:w="17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第二十条第（一）项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信息内容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本年新制作数量 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本年新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公开数量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对外公开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总数量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规章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规范性文件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第二十条第（五）项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信息内容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上一年项目数量 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本年增/减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处理决定数量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行政许可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17 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减少17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其他对外管理服务事项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第二十条第（六）项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信息内容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上一年项目数量 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本年增/减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处理决定数量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行政处罚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行政强制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第二十条第（八）项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信息内容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上一年项目数量 </w:t>
            </w:r>
          </w:p>
        </w:tc>
        <w:tc>
          <w:tcPr>
            <w:tcW w:w="322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本年增/减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行政事业性收费 </w:t>
            </w:r>
          </w:p>
        </w:tc>
        <w:tc>
          <w:tcPr>
            <w:tcW w:w="2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322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第二十条第（九）项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信息内容 </w:t>
            </w:r>
          </w:p>
        </w:tc>
        <w:tc>
          <w:tcPr>
            <w:tcW w:w="29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采购项目数量 </w:t>
            </w:r>
          </w:p>
        </w:tc>
        <w:tc>
          <w:tcPr>
            <w:tcW w:w="322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采购总金额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政府集中采购 </w:t>
            </w:r>
          </w:p>
        </w:tc>
        <w:tc>
          <w:tcPr>
            <w:tcW w:w="29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322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三、收到和处理政府信息公开申请情况 </w:t>
      </w:r>
    </w:p>
    <w:tbl>
      <w:tblPr>
        <w:tblStyle w:val="3"/>
        <w:tblW w:w="836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99"/>
        <w:gridCol w:w="782"/>
        <w:gridCol w:w="1305"/>
        <w:gridCol w:w="782"/>
        <w:gridCol w:w="782"/>
        <w:gridCol w:w="782"/>
        <w:gridCol w:w="788"/>
        <w:gridCol w:w="782"/>
        <w:gridCol w:w="782"/>
        <w:gridCol w:w="7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86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（本列数据的勾稽关系为：第一项加第二项之和，等于第三项加第四项之和） </w:t>
            </w:r>
          </w:p>
        </w:tc>
        <w:tc>
          <w:tcPr>
            <w:tcW w:w="548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申请人情况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86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自然人 </w:t>
            </w:r>
          </w:p>
        </w:tc>
        <w:tc>
          <w:tcPr>
            <w:tcW w:w="391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法人或其他组织 </w:t>
            </w:r>
          </w:p>
        </w:tc>
        <w:tc>
          <w:tcPr>
            <w:tcW w:w="7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总计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86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商业企业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科研机构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社会公益组织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法律服务机构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其他 </w:t>
            </w: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一、本年新收政府信息公开申请数量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二、上年结转政府信息公开申请数量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三、本年度办理结果 </w:t>
            </w:r>
          </w:p>
        </w:tc>
        <w:tc>
          <w:tcPr>
            <w:tcW w:w="20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（一）予以公开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（二）部分公开（区分处理的，只计这一情形，不计其他情形）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（三）不予公开 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1.属于国家秘密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2.其他法律行政法规禁止公开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3.危及“三安全一稳定”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4.保护第三方合法权益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5.属于三类内部事务信息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6.属于四类过程性信息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7.属于行政执法案卷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8.属于行政查询事项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（四）无法提供 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1.本机关不掌握相关政府信息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2.没有现成信息需要另行制作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3.补正后申请内容仍不明确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（五）不予处理 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1.信访举报投诉类申请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2.重复申请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3.要求提供公开出版物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4.无正当理由大量反复申请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5.要求行政机关确认或重新出具已获取信息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（六）其他处理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（七）总计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四、结转下年度继续办理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四、政府信息公开行政复议、行政诉讼情况 </w:t>
      </w:r>
    </w:p>
    <w:tbl>
      <w:tblPr>
        <w:tblStyle w:val="3"/>
        <w:tblW w:w="83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93"/>
        <w:gridCol w:w="593"/>
        <w:gridCol w:w="593"/>
        <w:gridCol w:w="593"/>
        <w:gridCol w:w="415"/>
        <w:gridCol w:w="593"/>
        <w:gridCol w:w="593"/>
        <w:gridCol w:w="593"/>
        <w:gridCol w:w="593"/>
        <w:gridCol w:w="415"/>
        <w:gridCol w:w="593"/>
        <w:gridCol w:w="593"/>
        <w:gridCol w:w="593"/>
        <w:gridCol w:w="593"/>
        <w:gridCol w:w="4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7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行政复议 </w:t>
            </w:r>
          </w:p>
        </w:tc>
        <w:tc>
          <w:tcPr>
            <w:tcW w:w="5574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行政诉讼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结果维持 </w:t>
            </w:r>
          </w:p>
        </w:tc>
        <w:tc>
          <w:tcPr>
            <w:tcW w:w="5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结果纠正 </w:t>
            </w:r>
          </w:p>
        </w:tc>
        <w:tc>
          <w:tcPr>
            <w:tcW w:w="5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其他结果 </w:t>
            </w:r>
          </w:p>
        </w:tc>
        <w:tc>
          <w:tcPr>
            <w:tcW w:w="5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尚未审结 </w:t>
            </w:r>
          </w:p>
        </w:tc>
        <w:tc>
          <w:tcPr>
            <w:tcW w:w="4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总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计 </w:t>
            </w:r>
          </w:p>
        </w:tc>
        <w:tc>
          <w:tcPr>
            <w:tcW w:w="27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未经复议直接起诉 </w:t>
            </w:r>
          </w:p>
        </w:tc>
        <w:tc>
          <w:tcPr>
            <w:tcW w:w="27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复议后起诉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结果维持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结果纠正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其他结果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尚未审结 </w:t>
            </w:r>
          </w:p>
        </w:tc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总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计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结果维持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结果纠正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其他结果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尚未审结 </w:t>
            </w:r>
          </w:p>
        </w:tc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总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计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五、存在的主要问题及改进情况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虽然我局严格按照上级要求规范政府信息公开工作，但仍存在一些问题影响工作成效：缺少专职人员，由于人手限制，我局信息公开工作没有专职人员，导致部分公开信息内容不够详实、生动，与群众满意还有一定差距；公开内容侧重点不全面，今年发布的大部分信息都是上级要求的决策、执行类的信息，主动公开工作动态、公共文化服务等信息相对较少，今后工作中我局会注重公开比重，力争公开内容全面突出，明确各信息条目，方便群众查阅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六、其他需要报告的事项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安丘市文化和旅游局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5" w:lineRule="atLeast"/>
        <w:ind w:left="0" w:firstLine="5040" w:firstLineChars="21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2020年1月13日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27B75"/>
    <w:rsid w:val="20D7105D"/>
    <w:rsid w:val="3F9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2020-12-28T07:39:42Z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