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安丘市体育事业发展中心</w:t>
      </w:r>
    </w:p>
    <w:p>
      <w:pPr>
        <w:jc w:val="center"/>
        <w:rPr>
          <w:rFonts w:hint="eastAsia" w:ascii="宋体" w:hAnsi="宋体" w:eastAsia="宋体" w:cs="宋体"/>
          <w:b/>
          <w:bCs/>
          <w:sz w:val="44"/>
          <w:szCs w:val="44"/>
        </w:rPr>
      </w:pPr>
      <w:r>
        <w:rPr>
          <w:rFonts w:hint="eastAsia" w:ascii="宋体" w:hAnsi="宋体" w:eastAsia="宋体" w:cs="宋体"/>
          <w:b/>
          <w:bCs/>
          <w:sz w:val="44"/>
          <w:szCs w:val="44"/>
        </w:rPr>
        <w:t>2019年政府信息公开工作年度报告</w:t>
      </w:r>
    </w:p>
    <w:p>
      <w:pPr>
        <w:jc w:val="center"/>
        <w:rPr>
          <w:rFonts w:hint="eastAsia" w:ascii="宋体" w:hAnsi="宋体" w:eastAsia="宋体" w:cs="宋体"/>
          <w:b/>
          <w:bCs/>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rPr>
          <w:rFonts w:hint="eastAsia" w:ascii="仿宋" w:hAnsi="仿宋" w:eastAsia="仿宋" w:cs="仿宋"/>
          <w:sz w:val="32"/>
          <w:szCs w:val="32"/>
        </w:rPr>
      </w:pPr>
      <w:r>
        <w:rPr>
          <w:rFonts w:hint="eastAsia" w:ascii="仿宋" w:hAnsi="仿宋" w:eastAsia="仿宋" w:cs="仿宋"/>
          <w:sz w:val="32"/>
          <w:szCs w:val="32"/>
        </w:rPr>
        <w:t>　　我中心按照市政府办公室《关于做好2019年政府信息公开工作年度报告编制发布和报送工作的通知》精神，根据《中华人民共和国政府信息公开条例》(以下简称《条例》)要求，特编制2019年度安丘市体育事业发展中心政府信息公开</w:t>
      </w:r>
      <w:r>
        <w:rPr>
          <w:rFonts w:hint="eastAsia" w:ascii="仿宋" w:hAnsi="仿宋" w:eastAsia="仿宋" w:cs="仿宋"/>
          <w:sz w:val="32"/>
          <w:szCs w:val="32"/>
          <w:lang w:eastAsia="zh-CN"/>
        </w:rPr>
        <w:t>工作</w:t>
      </w:r>
      <w:r>
        <w:rPr>
          <w:rFonts w:hint="eastAsia" w:ascii="仿宋" w:hAnsi="仿宋" w:eastAsia="仿宋" w:cs="仿宋"/>
          <w:sz w:val="32"/>
          <w:szCs w:val="32"/>
        </w:rPr>
        <w:t>年度报告并向社会公布。报告中所列数据的统计期限自2019年1月1日起至2019年12月31日止。本报告电子版可在安丘市人民政府门户网站政府信息公开专栏(http://xxgk.anqiu.gov.cn)查看或下载。如对本报告有任何疑问，请与安丘市体育事业发展中心办公室联系(地址：安丘市农产品质量综合监管中心十七楼1707室，邮编：262100，电话：0536-4363198</w:t>
      </w:r>
      <w:r>
        <w:rPr>
          <w:rFonts w:hint="eastAsia" w:ascii="仿宋" w:hAnsi="仿宋" w:eastAsia="仿宋" w:cs="仿宋"/>
          <w:sz w:val="32"/>
          <w:szCs w:val="32"/>
          <w:lang w:eastAsia="zh-CN"/>
        </w:rPr>
        <w:t>，</w:t>
      </w:r>
      <w:r>
        <w:rPr>
          <w:rFonts w:hint="eastAsia" w:ascii="仿宋" w:hAnsi="仿宋" w:eastAsia="仿宋" w:cs="仿宋"/>
          <w:sz w:val="32"/>
          <w:szCs w:val="32"/>
        </w:rPr>
        <w:t>传真：0536-4363198，邮箱：aqstyjbgs@wf.shandong.cn)。</w:t>
      </w:r>
    </w:p>
    <w:p>
      <w:pP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（一）主动公开情况</w:t>
      </w:r>
    </w:p>
    <w:p>
      <w:pPr>
        <w:rPr>
          <w:rFonts w:hint="eastAsia" w:ascii="仿宋" w:hAnsi="仿宋" w:eastAsia="仿宋" w:cs="仿宋"/>
          <w:sz w:val="32"/>
          <w:szCs w:val="32"/>
        </w:rPr>
      </w:pPr>
      <w:r>
        <w:rPr>
          <w:rFonts w:hint="eastAsia" w:ascii="仿宋" w:hAnsi="仿宋" w:eastAsia="仿宋" w:cs="仿宋"/>
          <w:sz w:val="32"/>
          <w:szCs w:val="32"/>
        </w:rPr>
        <w:t>　　2019年，市体育事业发展中心按照“公开为原则，不公开为例外”的总体要求，全面、深入、细致地开展了政府信息公开工作。对于主动公开信息，我中心以网上公开为主，同时充分采用报纸等刊物进行信息公开，努力拓宽信息公开渠道，切实做好信息公开工作，将所有可公开信息在规定时限内予以公开。截止2019年12月31日，我中心主动公开部门政府信息81条，其中组织机构信息4条、非规范性文件信息16条、工作信息25条、人事信息1条、执行公开信息2条、结果公开信息1条、其他信息6条、重点领域信息26条。</w:t>
      </w:r>
    </w:p>
    <w:p>
      <w:pP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（二）依申请公开情况</w:t>
      </w:r>
    </w:p>
    <w:p>
      <w:pPr>
        <w:rPr>
          <w:rFonts w:hint="eastAsia" w:ascii="仿宋" w:hAnsi="仿宋" w:eastAsia="仿宋" w:cs="仿宋"/>
          <w:sz w:val="32"/>
          <w:szCs w:val="32"/>
        </w:rPr>
      </w:pPr>
      <w:r>
        <w:rPr>
          <w:rFonts w:hint="eastAsia" w:ascii="仿宋" w:hAnsi="仿宋" w:eastAsia="仿宋" w:cs="仿宋"/>
          <w:sz w:val="32"/>
          <w:szCs w:val="32"/>
        </w:rPr>
        <w:t>　　2019年，我中心未收到政府信息公开申请。</w:t>
      </w:r>
    </w:p>
    <w:p>
      <w:pP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（三）政府信息管理情况</w:t>
      </w:r>
    </w:p>
    <w:p>
      <w:pPr>
        <w:rPr>
          <w:rFonts w:hint="eastAsia" w:ascii="仿宋" w:hAnsi="仿宋" w:eastAsia="仿宋" w:cs="仿宋"/>
          <w:sz w:val="32"/>
          <w:szCs w:val="32"/>
        </w:rPr>
      </w:pPr>
      <w:r>
        <w:rPr>
          <w:rFonts w:hint="eastAsia" w:ascii="仿宋" w:hAnsi="仿宋" w:eastAsia="仿宋" w:cs="仿宋"/>
          <w:sz w:val="32"/>
          <w:szCs w:val="32"/>
        </w:rPr>
        <w:t>　　2019年我中心认真贯彻落实上级文件精神，调整了政府信息公开工作领导小组，由中心主要负责同志任组长，分管同志任副组长，各科室负责同志为成员，明确专人负责政务信息公开工作。为保证各科室把政府信息公开工作落到实处，进一步完善了《安丘市体育事业发展中心关于推进政务公开工作的实施方案》，制定出台了《安丘市体育事业发展中心政府信息公开保密审查制度》，对政务公开的操作流程、公开范围和渠道、保密审查、依申请公开处理规则进行细化和明确，使政务公开的条目更清晰，程序更规范，责任更明确。</w:t>
      </w:r>
    </w:p>
    <w:p>
      <w:pP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（四）平台建设情况</w:t>
      </w:r>
    </w:p>
    <w:p>
      <w:pPr>
        <w:rPr>
          <w:rFonts w:hint="eastAsia" w:ascii="仿宋" w:hAnsi="仿宋" w:eastAsia="仿宋" w:cs="仿宋"/>
          <w:sz w:val="32"/>
          <w:szCs w:val="32"/>
        </w:rPr>
      </w:pPr>
      <w:r>
        <w:rPr>
          <w:rFonts w:hint="eastAsia" w:ascii="仿宋" w:hAnsi="仿宋" w:eastAsia="仿宋" w:cs="仿宋"/>
          <w:sz w:val="32"/>
          <w:szCs w:val="32"/>
        </w:rPr>
        <w:t>　　我中心主要依托市政府门户网站进行政府信息公开，信息公开内容主要包含基本目录和重点领域两大部分，基本目录主要内容包括组织机构、政策文件、工作信息、人事信息、执行公开、结果公开、其他信息等信息，重点领域包含财政审计、社会公益事业建设等信息。通过加大公开工作力度，深入推进政务公开工作，2019年我中心基本目录信息公开方面内容完善、覆盖全面，信息更新及时，确保了政务公开全面、及时、有效。重点领域方面，我中心及时发布公共体育相关信息，进一步提升了体育领域政府信息公开工作的透明度和全面性。</w:t>
      </w:r>
    </w:p>
    <w:p>
      <w:pPr>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（五）监督保障情况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我中心高度重视政府信息公开保密审查及监督检查工作，对全体干部职工开展保密教育，接受市政府信息公开主管部门监督和指导，对政府信息的制作、发布实行严格分级审核，由信息制作科室、分管负责人、主要负责人层层审核，确保信息准确无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（六）提案建议办理情况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2019年，我中心未收到提案建议。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(七) 工作考核、社会评议和责任结果追究结果情况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建立考核制度。主动接受市政府政务公开办公室对我中心政务公开工作的监督，同时根据市政府政务公开办公室政务公开日常记账考核制度，制定中心政务公开考核制度，发现问题督促各科室立即整改，确保政务信息及</w:t>
      </w:r>
      <w:bookmarkStart w:id="0" w:name="_GoBack"/>
      <w:bookmarkEnd w:id="0"/>
      <w:r>
        <w:rPr>
          <w:rFonts w:hint="eastAsia" w:ascii="仿宋" w:hAnsi="仿宋" w:eastAsia="仿宋" w:cs="仿宋"/>
          <w:kern w:val="2"/>
          <w:sz w:val="32"/>
          <w:szCs w:val="32"/>
          <w:lang w:val="en-US" w:eastAsia="zh-CN" w:bidi="ar-SA"/>
        </w:rPr>
        <w:t>时准确发布。</w:t>
      </w:r>
    </w:p>
    <w:p>
      <w:pPr>
        <w:pStyle w:val="5"/>
        <w:keepNext w:val="0"/>
        <w:keepLines w:val="0"/>
        <w:widowControl/>
        <w:suppressLineNumbers w:val="0"/>
        <w:spacing w:before="0" w:beforeAutospacing="0" w:after="0" w:afterAutospacing="0" w:line="480" w:lineRule="atLeast"/>
        <w:ind w:left="0" w:right="0" w:firstLine="48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2.主动听取社会公众意见。对于需要向社会进行意见征集的，及时在政府网站进行公示，并注明联系电话和邮箱，积极主动听取社会公众的意见与建议，及时进行解答。</w:t>
      </w:r>
    </w:p>
    <w:p>
      <w:pPr>
        <w:pStyle w:val="5"/>
        <w:keepNext w:val="0"/>
        <w:keepLines w:val="0"/>
        <w:widowControl/>
        <w:suppressLineNumbers w:val="0"/>
        <w:spacing w:before="0" w:beforeAutospacing="0" w:after="0" w:afterAutospacing="0" w:line="480" w:lineRule="atLeast"/>
        <w:ind w:left="0" w:right="0" w:firstLine="48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3.责任追究结果情况。2019年度我中心未出现因信息公开不到位需要进行责任结果追究结果的情况。</w:t>
      </w: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二、主动公开政府信息情况</w:t>
      </w:r>
    </w:p>
    <w:tbl>
      <w:tblPr>
        <w:tblStyle w:val="6"/>
        <w:tblW w:w="818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60"/>
        <w:gridCol w:w="930"/>
        <w:gridCol w:w="2009"/>
        <w:gridCol w:w="1390"/>
        <w:gridCol w:w="17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5" w:hRule="atLeast"/>
          <w:jc w:val="center"/>
        </w:trPr>
        <w:tc>
          <w:tcPr>
            <w:tcW w:w="818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本年新制作数量</w:t>
            </w:r>
          </w:p>
        </w:tc>
        <w:tc>
          <w:tcPr>
            <w:tcW w:w="1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本年新</w:t>
            </w: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公开数量</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对外公开</w:t>
            </w:r>
          </w:p>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规章</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规范性文件</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84"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上一年项目数量</w:t>
            </w:r>
          </w:p>
        </w:tc>
        <w:tc>
          <w:tcPr>
            <w:tcW w:w="1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本年增/减</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行政许可</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其他对外管理服务事项</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上一年项目数量</w:t>
            </w:r>
          </w:p>
        </w:tc>
        <w:tc>
          <w:tcPr>
            <w:tcW w:w="1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本年增/减</w:t>
            </w:r>
          </w:p>
        </w:tc>
        <w:tc>
          <w:tcPr>
            <w:tcW w:w="17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行政处罚</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行政强制</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17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0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上一年项目数量</w:t>
            </w:r>
          </w:p>
        </w:tc>
        <w:tc>
          <w:tcPr>
            <w:tcW w:w="309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3090"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行政事业性收费</w:t>
            </w:r>
          </w:p>
        </w:tc>
        <w:tc>
          <w:tcPr>
            <w:tcW w:w="20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30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8189" w:type="dxa"/>
            <w:gridSpan w:val="5"/>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21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信息内容</w:t>
            </w:r>
          </w:p>
        </w:tc>
        <w:tc>
          <w:tcPr>
            <w:tcW w:w="293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采购项目数量</w:t>
            </w:r>
          </w:p>
        </w:tc>
        <w:tc>
          <w:tcPr>
            <w:tcW w:w="3090"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采购总金额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9" w:hRule="atLeast"/>
          <w:jc w:val="center"/>
        </w:trPr>
        <w:tc>
          <w:tcPr>
            <w:tcW w:w="21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政府集中采购</w:t>
            </w:r>
          </w:p>
        </w:tc>
        <w:tc>
          <w:tcPr>
            <w:tcW w:w="293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309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bl>
    <w:p>
      <w:pPr>
        <w:rPr>
          <w:rFonts w:hint="eastAsia" w:ascii="黑体" w:hAnsi="黑体" w:eastAsia="黑体" w:cs="黑体"/>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　三、收到和处理政府信息公开申请情况</w:t>
      </w:r>
    </w:p>
    <w:tbl>
      <w:tblPr>
        <w:tblStyle w:val="6"/>
        <w:tblW w:w="482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9"/>
        <w:gridCol w:w="1298"/>
        <w:gridCol w:w="2358"/>
        <w:gridCol w:w="775"/>
        <w:gridCol w:w="618"/>
        <w:gridCol w:w="618"/>
        <w:gridCol w:w="619"/>
        <w:gridCol w:w="618"/>
        <w:gridCol w:w="625"/>
        <w:gridCol w:w="6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23" w:hRule="atLeast"/>
          <w:jc w:val="center"/>
        </w:trPr>
        <w:tc>
          <w:tcPr>
            <w:tcW w:w="3970"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（本列数据的勾稽关系为：第一项加第二项之和，等于第三项加第四项之和）</w:t>
            </w:r>
          </w:p>
        </w:tc>
        <w:tc>
          <w:tcPr>
            <w:tcW w:w="4255"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7" w:hRule="atLeast"/>
          <w:jc w:val="center"/>
        </w:trPr>
        <w:tc>
          <w:tcPr>
            <w:tcW w:w="397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73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自然人</w:t>
            </w:r>
          </w:p>
        </w:tc>
        <w:tc>
          <w:tcPr>
            <w:tcW w:w="293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法人或其他组织</w:t>
            </w:r>
          </w:p>
        </w:tc>
        <w:tc>
          <w:tcPr>
            <w:tcW w:w="58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49" w:hRule="atLeast"/>
          <w:jc w:val="center"/>
        </w:trPr>
        <w:tc>
          <w:tcPr>
            <w:tcW w:w="397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73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商业企业</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科研机构</w:t>
            </w:r>
          </w:p>
        </w:tc>
        <w:tc>
          <w:tcPr>
            <w:tcW w:w="5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社会公益组织</w:t>
            </w:r>
          </w:p>
        </w:tc>
        <w:tc>
          <w:tcPr>
            <w:tcW w:w="58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法律服务机构</w:t>
            </w:r>
          </w:p>
        </w:tc>
        <w:tc>
          <w:tcPr>
            <w:tcW w:w="59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其他</w:t>
            </w:r>
          </w:p>
        </w:tc>
        <w:tc>
          <w:tcPr>
            <w:tcW w:w="58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397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一、本年新收政府信息公开申请数量</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397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二、上年结转政府信息公开申请数量</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8" w:hRule="atLeast"/>
          <w:jc w:val="center"/>
        </w:trPr>
        <w:tc>
          <w:tcPr>
            <w:tcW w:w="50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三、本年度办理结果</w:t>
            </w: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（一）予以公开</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33"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（二）部分公开（区分处理的，只计这一情形，不计其他情形）</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（三）不予公开</w:t>
            </w: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1.属于国家秘密</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2.其他法律行政法规禁止公开</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3.危及“三安全一稳定”</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4.保护第三方合法权益</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5.属于三类内部事务信息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6.属于四类过程性信息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7.属于行政执法案卷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8.属于行政查询事项</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（四）无法提供</w:t>
            </w: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1.本机关不掌握相关政府信息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2.没有现成信息需要另行制作</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3.补正后申请内容仍不明确</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（五）不予处理</w:t>
            </w: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1.信访举报投诉类申请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2.重复申请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3.要求提供公开出版物</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4.无正当理由大量反复申请</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123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22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5.要求行政机关确认或重新出具已获取信息</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（六）其他处理</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45" w:hRule="atLeast"/>
          <w:jc w:val="center"/>
        </w:trPr>
        <w:tc>
          <w:tcPr>
            <w:tcW w:w="50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p>
        </w:tc>
        <w:tc>
          <w:tcPr>
            <w:tcW w:w="346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（七）总计</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3" w:hRule="atLeast"/>
          <w:jc w:val="center"/>
        </w:trPr>
        <w:tc>
          <w:tcPr>
            <w:tcW w:w="397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四、结转下年度继续办理</w:t>
            </w:r>
          </w:p>
        </w:tc>
        <w:tc>
          <w:tcPr>
            <w:tcW w:w="73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bl>
    <w:p>
      <w:pPr>
        <w:rPr>
          <w:rFonts w:hint="eastAsia" w:ascii="仿宋" w:hAnsi="仿宋" w:eastAsia="仿宋" w:cs="仿宋"/>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　四、政府信息公开行政复议、行政诉讼情况</w:t>
      </w:r>
    </w:p>
    <w:p>
      <w:pPr>
        <w:rPr>
          <w:rFonts w:hint="eastAsia" w:ascii="仿宋" w:hAnsi="仿宋" w:eastAsia="仿宋" w:cs="仿宋"/>
          <w:sz w:val="32"/>
          <w:szCs w:val="32"/>
        </w:rPr>
      </w:pPr>
      <w:r>
        <w:rPr>
          <w:rFonts w:hint="eastAsia" w:ascii="仿宋" w:hAnsi="仿宋" w:eastAsia="仿宋" w:cs="仿宋"/>
          <w:sz w:val="32"/>
          <w:szCs w:val="32"/>
          <w:lang w:val="en-US" w:eastAsia="zh-CN"/>
        </w:rPr>
        <w:t>　　</w:t>
      </w:r>
    </w:p>
    <w:tbl>
      <w:tblPr>
        <w:tblStyle w:val="6"/>
        <w:tblW w:w="81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5"/>
        <w:gridCol w:w="545"/>
        <w:gridCol w:w="545"/>
        <w:gridCol w:w="545"/>
        <w:gridCol w:w="545"/>
        <w:gridCol w:w="545"/>
        <w:gridCol w:w="545"/>
        <w:gridCol w:w="545"/>
        <w:gridCol w:w="545"/>
        <w:gridCol w:w="545"/>
        <w:gridCol w:w="545"/>
        <w:gridCol w:w="545"/>
        <w:gridCol w:w="545"/>
        <w:gridCol w:w="545"/>
        <w:gridCol w:w="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9" w:hRule="atLeast"/>
          <w:jc w:val="center"/>
        </w:trPr>
        <w:tc>
          <w:tcPr>
            <w:tcW w:w="272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行政复议</w:t>
            </w:r>
          </w:p>
        </w:tc>
        <w:tc>
          <w:tcPr>
            <w:tcW w:w="5449"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45" w:hRule="atLeast"/>
          <w:jc w:val="center"/>
        </w:trPr>
        <w:tc>
          <w:tcPr>
            <w:tcW w:w="545"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结果维持</w:t>
            </w:r>
          </w:p>
        </w:tc>
        <w:tc>
          <w:tcPr>
            <w:tcW w:w="545"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结果纠正</w:t>
            </w:r>
          </w:p>
        </w:tc>
        <w:tc>
          <w:tcPr>
            <w:tcW w:w="54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其他结果</w:t>
            </w:r>
          </w:p>
        </w:tc>
        <w:tc>
          <w:tcPr>
            <w:tcW w:w="54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尚未审结</w:t>
            </w:r>
          </w:p>
        </w:tc>
        <w:tc>
          <w:tcPr>
            <w:tcW w:w="545"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总</w:t>
            </w:r>
          </w:p>
          <w:p>
            <w:pPr>
              <w:rPr>
                <w:rFonts w:hint="eastAsia" w:ascii="仿宋" w:hAnsi="仿宋" w:eastAsia="仿宋" w:cs="仿宋"/>
                <w:sz w:val="28"/>
                <w:szCs w:val="28"/>
              </w:rPr>
            </w:pPr>
            <w:r>
              <w:rPr>
                <w:rFonts w:hint="eastAsia" w:ascii="仿宋" w:hAnsi="仿宋" w:eastAsia="仿宋" w:cs="仿宋"/>
                <w:sz w:val="28"/>
                <w:szCs w:val="28"/>
                <w:lang w:val="en-US" w:eastAsia="zh-CN"/>
              </w:rPr>
              <w:t>　　计</w:t>
            </w:r>
          </w:p>
        </w:tc>
        <w:tc>
          <w:tcPr>
            <w:tcW w:w="272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未经复议直接起诉</w:t>
            </w:r>
          </w:p>
        </w:tc>
        <w:tc>
          <w:tcPr>
            <w:tcW w:w="2725"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8" w:hRule="atLeast"/>
          <w:jc w:val="center"/>
        </w:trPr>
        <w:tc>
          <w:tcPr>
            <w:tcW w:w="545"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结果维持</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结果纠正</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其他结果</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尚未审结</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总</w:t>
            </w:r>
          </w:p>
          <w:p>
            <w:pPr>
              <w:rPr>
                <w:rFonts w:hint="eastAsia" w:ascii="仿宋" w:hAnsi="仿宋" w:eastAsia="仿宋" w:cs="仿宋"/>
                <w:sz w:val="28"/>
                <w:szCs w:val="28"/>
              </w:rPr>
            </w:pPr>
            <w:r>
              <w:rPr>
                <w:rFonts w:hint="eastAsia" w:ascii="仿宋" w:hAnsi="仿宋" w:eastAsia="仿宋" w:cs="仿宋"/>
                <w:sz w:val="28"/>
                <w:szCs w:val="28"/>
                <w:lang w:val="en-US" w:eastAsia="zh-CN"/>
              </w:rPr>
              <w:t>　　计</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结果维持</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结果纠正</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其他结果</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尚未审结</w:t>
            </w:r>
          </w:p>
        </w:tc>
        <w:tc>
          <w:tcPr>
            <w:tcW w:w="54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总</w:t>
            </w:r>
          </w:p>
          <w:p>
            <w:pPr>
              <w:rPr>
                <w:rFonts w:hint="eastAsia" w:ascii="仿宋" w:hAnsi="仿宋" w:eastAsia="仿宋" w:cs="仿宋"/>
                <w:sz w:val="28"/>
                <w:szCs w:val="28"/>
              </w:rPr>
            </w:pPr>
            <w:r>
              <w:rPr>
                <w:rFonts w:hint="eastAsia" w:ascii="仿宋" w:hAnsi="仿宋" w:eastAsia="仿宋" w:cs="仿宋"/>
                <w:sz w:val="28"/>
                <w:szCs w:val="28"/>
                <w:lang w:val="en-US" w:eastAsia="zh-CN"/>
              </w:rPr>
              <w:t>　　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7" w:hRule="atLeast"/>
          <w:jc w:val="center"/>
        </w:trPr>
        <w:tc>
          <w:tcPr>
            <w:tcW w:w="54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c>
          <w:tcPr>
            <w:tcW w:w="54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　　0</w:t>
            </w:r>
          </w:p>
        </w:tc>
      </w:tr>
    </w:tbl>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rPr>
          <w:rFonts w:hint="eastAsia" w:ascii="黑体" w:hAnsi="黑体" w:eastAsia="黑体" w:cs="黑体"/>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　五、存在的主要问题及改进情况</w:t>
      </w:r>
    </w:p>
    <w:p>
      <w:pPr>
        <w:rPr>
          <w:rFonts w:hint="eastAsia" w:ascii="仿宋" w:hAnsi="仿宋" w:eastAsia="仿宋" w:cs="仿宋"/>
          <w:sz w:val="32"/>
          <w:szCs w:val="32"/>
        </w:rPr>
      </w:pPr>
      <w:r>
        <w:rPr>
          <w:rFonts w:hint="eastAsia" w:ascii="仿宋" w:hAnsi="仿宋" w:eastAsia="仿宋" w:cs="仿宋"/>
          <w:sz w:val="32"/>
          <w:szCs w:val="32"/>
        </w:rPr>
        <w:t>　　存在的主要问题：一是信息公开工作人员力量仍然薄弱，业务操作不够熟练。二是有关工作人员对政府信息公开工作不够重视，主动公开意识仍不够强，导致个别信息更新不及时，不能让群众在第一时间内了解最新工作动态。</w:t>
      </w:r>
    </w:p>
    <w:p>
      <w:pPr>
        <w:rPr>
          <w:rFonts w:hint="eastAsia" w:ascii="仿宋" w:hAnsi="仿宋" w:eastAsia="仿宋" w:cs="仿宋"/>
          <w:sz w:val="32"/>
          <w:szCs w:val="32"/>
        </w:rPr>
      </w:pPr>
      <w:r>
        <w:rPr>
          <w:rFonts w:hint="eastAsia" w:ascii="仿宋" w:hAnsi="仿宋" w:eastAsia="仿宋" w:cs="仿宋"/>
          <w:sz w:val="32"/>
          <w:szCs w:val="32"/>
          <w:lang w:val="en-US" w:eastAsia="zh-CN"/>
        </w:rPr>
        <w:t>　　改进措施：一是配强工作力量。进一步夯实政府信息公开工作专兼职人员力量，实行以老带新，发挥好老人的传帮带作用。积极组织工作人员参加上级举办的专题培训班，定期开展信息公开培训工作，通过授课讲解和上机操作，进一步提高工作人员的业务能力和水平。二是强化工作考核。继续将政务公开工作纳入日常考核和年度考核，加大考核力度，细化考核内容，灵活考核方式，确保各科室、各工作人员把政府信息公开工作作为一项基本工作抓紧、抓实。</w:t>
      </w:r>
    </w:p>
    <w:p>
      <w:pPr>
        <w:rPr>
          <w:rFonts w:hint="eastAsia" w:ascii="黑体" w:hAnsi="黑体" w:eastAsia="黑体" w:cs="黑体"/>
          <w:sz w:val="32"/>
          <w:szCs w:val="32"/>
        </w:rPr>
      </w:pPr>
      <w:r>
        <w:rPr>
          <w:rFonts w:hint="eastAsia" w:ascii="仿宋" w:hAnsi="仿宋" w:eastAsia="仿宋" w:cs="仿宋"/>
          <w:sz w:val="32"/>
          <w:szCs w:val="32"/>
          <w:lang w:val="en-US" w:eastAsia="zh-CN"/>
        </w:rPr>
        <w:t>　　</w:t>
      </w:r>
      <w:r>
        <w:rPr>
          <w:rFonts w:hint="eastAsia" w:ascii="黑体" w:hAnsi="黑体" w:eastAsia="黑体" w:cs="黑体"/>
          <w:sz w:val="32"/>
          <w:szCs w:val="32"/>
          <w:lang w:val="en-US" w:eastAsia="zh-CN"/>
        </w:rPr>
        <w:t>六、其他需要报告的事项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没有需要报告的事项。</w:t>
      </w:r>
    </w:p>
    <w:p>
      <w:pPr>
        <w:rPr>
          <w:rFonts w:hint="eastAsia" w:ascii="仿宋" w:hAnsi="仿宋" w:eastAsia="仿宋" w:cs="仿宋"/>
          <w:sz w:val="32"/>
          <w:szCs w:val="32"/>
        </w:rPr>
      </w:pPr>
      <w:r>
        <w:rPr>
          <w:rFonts w:hint="eastAsia" w:ascii="仿宋" w:hAnsi="仿宋" w:eastAsia="仿宋" w:cs="仿宋"/>
          <w:sz w:val="32"/>
          <w:szCs w:val="32"/>
          <w:lang w:val="en-US" w:eastAsia="zh-CN"/>
        </w:rPr>
        <w:t>　                         　安丘市体育事业发展中心</w:t>
      </w:r>
    </w:p>
    <w:p>
      <w:pPr>
        <w:rPr>
          <w:rFonts w:hint="eastAsia" w:ascii="仿宋" w:hAnsi="仿宋" w:eastAsia="仿宋" w:cs="仿宋"/>
          <w:sz w:val="32"/>
          <w:szCs w:val="32"/>
        </w:rPr>
      </w:pPr>
      <w:r>
        <w:rPr>
          <w:rFonts w:hint="eastAsia" w:ascii="仿宋" w:hAnsi="仿宋" w:eastAsia="仿宋" w:cs="仿宋"/>
          <w:sz w:val="32"/>
          <w:szCs w:val="32"/>
          <w:lang w:val="en-US" w:eastAsia="zh-CN"/>
        </w:rPr>
        <w:t>　　                            2020年1月14日</w:t>
      </w:r>
    </w:p>
    <w:sectPr>
      <w:footerReference r:id="rId3" w:type="default"/>
      <w:pgSz w:w="11906" w:h="16838"/>
      <w:pgMar w:top="1701" w:right="1417" w:bottom="850"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0292F"/>
    <w:rsid w:val="2140292F"/>
    <w:rsid w:val="61E4097A"/>
    <w:rsid w:val="7F4F5C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u w:val="none"/>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Hyperlink"/>
    <w:basedOn w:val="7"/>
    <w:qFormat/>
    <w:uiPriority w:val="0"/>
    <w:rPr>
      <w:rFonts w:ascii="微软雅黑" w:hAnsi="微软雅黑" w:eastAsia="微软雅黑" w:cs="微软雅黑"/>
      <w:color w:val="0000FF"/>
      <w:u w:val="none"/>
    </w:rPr>
  </w:style>
  <w:style w:type="character" w:customStyle="1" w:styleId="10">
    <w:name w:val="hover12"/>
    <w:basedOn w:val="7"/>
    <w:qFormat/>
    <w:uiPriority w:val="0"/>
    <w:rPr>
      <w:shd w:val="clear" w:fill="003D9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2390</Words>
  <Characters>2530</Characters>
  <Lines>0</Lines>
  <Paragraphs>0</Paragraphs>
  <TotalTime>0</TotalTime>
  <ScaleCrop>false</ScaleCrop>
  <LinksUpToDate>false</LinksUpToDate>
  <CharactersWithSpaces>3124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2020-05-07T00:42:00Z</dcterms:created>
  <dc:creator>Administrator</dc:creator>
  <cp:lastModifiedBy>Administrator</cp:lastModifiedBy>
  <dcterms:modified xsi:type="dcterms:W3CDTF">2020-12-28T03:22:49Z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