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安丘市审计局</w:t>
      </w:r>
    </w:p>
    <w:p>
      <w:pPr>
        <w:spacing w:line="560" w:lineRule="exact"/>
        <w:jc w:val="center"/>
        <w:rPr>
          <w:rFonts w:ascii="方正小标宋简体" w:hAnsi="方正小标宋简体" w:eastAsia="方正小标宋简体"/>
          <w:sz w:val="44"/>
          <w:szCs w:val="44"/>
        </w:rPr>
      </w:pPr>
      <w:r>
        <w:rPr>
          <w:rFonts w:ascii="方正小标宋简体" w:hAnsi="方正小标宋简体" w:eastAsia="方正小标宋简体" w:cs="方正小标宋简体"/>
          <w:sz w:val="44"/>
          <w:szCs w:val="44"/>
        </w:rPr>
        <w:t>20</w:t>
      </w:r>
      <w:r>
        <w:rPr>
          <w:rFonts w:hint="eastAsia" w:ascii="方正小标宋简体" w:hAnsi="方正小标宋简体" w:eastAsia="方正小标宋简体" w:cs="方正小标宋简体"/>
          <w:sz w:val="44"/>
          <w:szCs w:val="44"/>
          <w:lang w:val="en-US" w:eastAsia="zh-CN"/>
        </w:rPr>
        <w:t>20</w:t>
      </w:r>
      <w:r>
        <w:rPr>
          <w:rFonts w:hint="eastAsia" w:ascii="方正小标宋简体" w:hAnsi="方正小标宋简体" w:eastAsia="方正小标宋简体" w:cs="方正小标宋简体"/>
          <w:sz w:val="44"/>
          <w:szCs w:val="44"/>
        </w:rPr>
        <w:t>年政府信息公开工作年度报告</w:t>
      </w:r>
    </w:p>
    <w:p>
      <w:pPr>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 </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根据《中华人民共和</w:t>
      </w:r>
      <w:bookmarkStart w:id="0" w:name="_GoBack"/>
      <w:bookmarkEnd w:id="0"/>
      <w:r>
        <w:rPr>
          <w:rFonts w:hint="eastAsia" w:ascii="仿宋_GB2312" w:hAnsi="仿宋_GB2312" w:eastAsia="仿宋_GB2312" w:cs="仿宋_GB2312"/>
          <w:sz w:val="32"/>
          <w:szCs w:val="32"/>
        </w:rPr>
        <w:t>国政府信息公开条例》《</w:t>
      </w:r>
      <w:r>
        <w:rPr>
          <w:rFonts w:hint="eastAsia" w:ascii="仿宋_GB2312" w:hAnsi="仿宋_GB2312" w:eastAsia="仿宋_GB2312" w:cs="仿宋_GB2312"/>
          <w:sz w:val="32"/>
          <w:szCs w:val="32"/>
          <w:lang w:val="en-US" w:eastAsia="zh-CN"/>
        </w:rPr>
        <w:t>安丘</w:t>
      </w:r>
      <w:r>
        <w:rPr>
          <w:rFonts w:hint="eastAsia" w:ascii="仿宋_GB2312" w:hAnsi="仿宋_GB2312" w:eastAsia="仿宋_GB2312" w:cs="仿宋_GB2312"/>
          <w:sz w:val="32"/>
          <w:szCs w:val="32"/>
        </w:rPr>
        <w:t>市人民政府办公室关于做好2020年政府信息公开工作年度报告编制发布和报送工作的通知》要求，特向社会公布</w:t>
      </w:r>
      <w:r>
        <w:rPr>
          <w:rFonts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年度本机关信息公开工作年度报告。</w:t>
      </w:r>
      <w:r>
        <w:rPr>
          <w:rFonts w:hint="eastAsia" w:ascii="仿宋_GB2312" w:hAnsi="仿宋_GB2312" w:eastAsia="仿宋_GB2312" w:cs="仿宋_GB2312"/>
          <w:sz w:val="32"/>
          <w:szCs w:val="32"/>
          <w:lang w:val="en-US" w:eastAsia="zh-CN"/>
        </w:rPr>
        <w:t>本年度报告中所列数据的统计期限自2020年1月1日起，至2020年12月31日止，如对本报告有疑问，请联系安丘市审计局办公室，联系电话：0536-4221017。</w:t>
      </w:r>
    </w:p>
    <w:p>
      <w:p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一、总体情况</w:t>
      </w:r>
      <w:r>
        <w:rPr>
          <w:rFonts w:hint="eastAsia" w:ascii="黑体" w:hAnsi="黑体" w:eastAsia="黑体" w:cs="黑体"/>
          <w:sz w:val="32"/>
          <w:szCs w:val="32"/>
          <w:lang w:val="en-US" w:eastAsia="zh-CN"/>
        </w:rPr>
        <w:tab/>
      </w:r>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w:t>
      </w:r>
      <w:r>
        <w:rPr>
          <w:rFonts w:hint="default"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lang w:val="en-US" w:eastAsia="zh-CN"/>
        </w:rPr>
        <w:t>审计</w:t>
      </w:r>
      <w:r>
        <w:rPr>
          <w:rFonts w:hint="default" w:ascii="仿宋_GB2312" w:hAnsi="仿宋_GB2312" w:eastAsia="仿宋_GB2312" w:cs="仿宋_GB2312"/>
          <w:sz w:val="32"/>
          <w:szCs w:val="32"/>
          <w:lang w:val="en-US" w:eastAsia="zh-CN"/>
        </w:rPr>
        <w:t>局认真贯彻落实党中央、国务院和省、市关于政府信息公开工作的部署要求，进一步调整优化公开目录，深入拓展公开渠道，持续丰富公开形式，及时回应社会关切，不断提升政府信息公开工作力度和实效，政府信息公开水平实现新的突破。</w:t>
      </w:r>
    </w:p>
    <w:p>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（一）主动公开情况。</w:t>
      </w:r>
    </w:p>
    <w:p>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截止</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年12月31日，主动公开政府信息</w:t>
      </w:r>
      <w:r>
        <w:rPr>
          <w:rFonts w:hint="eastAsia" w:ascii="仿宋_GB2312" w:hAnsi="仿宋_GB2312" w:eastAsia="仿宋_GB2312" w:cs="仿宋_GB2312"/>
          <w:sz w:val="32"/>
          <w:szCs w:val="32"/>
          <w:lang w:val="en-US" w:eastAsia="zh-CN"/>
        </w:rPr>
        <w:t>188</w:t>
      </w:r>
      <w:r>
        <w:rPr>
          <w:rFonts w:hint="eastAsia" w:ascii="仿宋_GB2312" w:hAnsi="仿宋_GB2312" w:eastAsia="仿宋_GB2312" w:cs="仿宋_GB2312"/>
          <w:sz w:val="32"/>
          <w:szCs w:val="32"/>
        </w:rPr>
        <w:t>条。其中，通过政府信息公开专栏主动公开政府信息</w:t>
      </w: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z w:val="32"/>
          <w:szCs w:val="32"/>
        </w:rPr>
        <w:t>条，通过微信主动公开政府信息</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条，通过各级媒体等其他方式主动公开政府信息</w:t>
      </w:r>
      <w:r>
        <w:rPr>
          <w:rFonts w:hint="eastAsia" w:ascii="仿宋_GB2312" w:hAnsi="仿宋_GB2312" w:eastAsia="仿宋_GB2312" w:cs="仿宋_GB2312"/>
          <w:sz w:val="32"/>
          <w:szCs w:val="32"/>
          <w:lang w:val="en-US" w:eastAsia="zh-CN"/>
        </w:rPr>
        <w:t>146</w:t>
      </w:r>
      <w:r>
        <w:rPr>
          <w:rFonts w:hint="eastAsia" w:ascii="仿宋_GB2312" w:hAnsi="仿宋_GB2312" w:eastAsia="仿宋_GB2312" w:cs="仿宋_GB2312"/>
          <w:sz w:val="32"/>
          <w:szCs w:val="32"/>
        </w:rPr>
        <w:t>条。其中,概况信息</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条，法规文件及解读</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权责清单1条</w:t>
      </w:r>
      <w:r>
        <w:rPr>
          <w:rFonts w:hint="eastAsia" w:ascii="仿宋_GB2312" w:hAnsi="仿宋_GB2312" w:eastAsia="仿宋_GB2312" w:cs="仿宋_GB2312"/>
          <w:sz w:val="32"/>
          <w:szCs w:val="32"/>
        </w:rPr>
        <w:t>，其他重点领域信息</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条。</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及时公开机构概况。根据《政府信息公开条例》第二十条第（二）款要求，在机构改革完成后，第一时间更新机关职能、机构设置、办公地址、办公时间、联系方式、负责人姓名，并在市政府信息公开专栏和局机关网站公布。</w:t>
      </w:r>
      <w:r>
        <w:rPr>
          <w:rFonts w:hint="eastAsia" w:ascii="仿宋_GB2312" w:hAnsi="仿宋_GB2312" w:eastAsia="仿宋_GB2312" w:cs="仿宋_GB2312"/>
          <w:sz w:val="32"/>
          <w:szCs w:val="32"/>
          <w:lang w:eastAsia="zh-CN"/>
        </w:rPr>
        <w:drawing>
          <wp:inline distT="0" distB="0" distL="114300" distR="114300">
            <wp:extent cx="5610225" cy="4869815"/>
            <wp:effectExtent l="0" t="0" r="9525" b="6985"/>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5"/>
                    <a:stretch>
                      <a:fillRect/>
                    </a:stretch>
                  </pic:blipFill>
                  <pic:spPr>
                    <a:xfrm>
                      <a:off x="0" y="0"/>
                      <a:ext cx="5610225" cy="48698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2.及时公开审计领域信息。根据《政府信息公开条例》</w:t>
      </w:r>
      <w:r>
        <w:rPr>
          <w:rFonts w:ascii="仿宋_GB2312" w:hAnsi="宋体" w:eastAsia="仿宋_GB2312" w:cs="仿宋_GB2312"/>
          <w:i w:val="0"/>
          <w:caps w:val="0"/>
          <w:color w:val="auto"/>
          <w:spacing w:val="0"/>
          <w:sz w:val="32"/>
          <w:szCs w:val="32"/>
          <w:shd w:val="clear" w:fill="FFFFFF"/>
        </w:rPr>
        <w:t>第二十条第（</w:t>
      </w:r>
      <w:r>
        <w:rPr>
          <w:rFonts w:hint="eastAsia" w:ascii="仿宋_GB2312" w:hAnsi="宋体" w:eastAsia="仿宋_GB2312" w:cs="仿宋_GB2312"/>
          <w:i w:val="0"/>
          <w:caps w:val="0"/>
          <w:color w:val="auto"/>
          <w:spacing w:val="0"/>
          <w:sz w:val="32"/>
          <w:szCs w:val="32"/>
          <w:shd w:val="clear" w:fill="FFFFFF"/>
        </w:rPr>
        <w:t>十一）款</w:t>
      </w:r>
      <w:r>
        <w:rPr>
          <w:rFonts w:hint="eastAsia" w:ascii="仿宋_GB2312" w:hAnsi="仿宋_GB2312" w:eastAsia="仿宋_GB2312" w:cs="仿宋_GB2312"/>
          <w:color w:val="auto"/>
          <w:sz w:val="32"/>
          <w:szCs w:val="32"/>
          <w:lang w:val="en-US" w:eastAsia="zh-CN"/>
        </w:rPr>
        <w:t>要求，结合安丘</w:t>
      </w:r>
      <w:r>
        <w:rPr>
          <w:rFonts w:hint="eastAsia" w:ascii="仿宋_GB2312" w:hAnsi="仿宋_GB2312" w:eastAsia="仿宋_GB2312" w:cs="仿宋_GB2312"/>
          <w:sz w:val="32"/>
          <w:szCs w:val="32"/>
          <w:lang w:val="en-US" w:eastAsia="zh-CN"/>
        </w:rPr>
        <w:t>实际，及时公开全市审计工作情况，</w:t>
      </w:r>
      <w:r>
        <w:rPr>
          <w:rFonts w:ascii="仿宋_GB2312" w:hAnsi="宋体" w:eastAsia="仿宋_GB2312" w:cs="仿宋_GB2312"/>
          <w:i w:val="0"/>
          <w:caps w:val="0"/>
          <w:color w:val="000000"/>
          <w:spacing w:val="0"/>
          <w:sz w:val="32"/>
          <w:szCs w:val="32"/>
          <w:shd w:val="clear" w:fill="FFFFFF"/>
        </w:rPr>
        <w:t>范围</w:t>
      </w:r>
      <w:r>
        <w:rPr>
          <w:rFonts w:hint="eastAsia" w:ascii="仿宋_GB2312" w:hAnsi="宋体" w:eastAsia="仿宋_GB2312" w:cs="仿宋_GB2312"/>
          <w:i w:val="0"/>
          <w:caps w:val="0"/>
          <w:color w:val="000000"/>
          <w:spacing w:val="0"/>
          <w:sz w:val="32"/>
          <w:szCs w:val="32"/>
          <w:shd w:val="clear" w:fill="FFFFFF"/>
        </w:rPr>
        <w:t>进一步扩大、内容进一步细化，知晓度进一步提高</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drawing>
          <wp:inline distT="0" distB="0" distL="114300" distR="114300">
            <wp:extent cx="5612130" cy="4877435"/>
            <wp:effectExtent l="0" t="0" r="7620" b="18415"/>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6"/>
                    <a:stretch>
                      <a:fillRect/>
                    </a:stretch>
                  </pic:blipFill>
                  <pic:spPr>
                    <a:xfrm>
                      <a:off x="0" y="0"/>
                      <a:ext cx="5612130" cy="4877435"/>
                    </a:xfrm>
                    <a:prstGeom prst="rect">
                      <a:avLst/>
                    </a:prstGeom>
                  </pic:spPr>
                </pic:pic>
              </a:graphicData>
            </a:graphic>
          </wp:inline>
        </w:drawing>
      </w:r>
    </w:p>
    <w:p>
      <w:pPr>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3.</w:t>
      </w:r>
      <w:r>
        <w:rPr>
          <w:rFonts w:hint="eastAsia" w:ascii="仿宋_GB2312" w:hAnsi="仿宋_GB2312" w:eastAsia="仿宋_GB2312"/>
          <w:sz w:val="32"/>
          <w:szCs w:val="32"/>
          <w:lang w:val="en-US" w:eastAsia="zh-CN"/>
        </w:rPr>
        <w:t>及时公开审计结果</w:t>
      </w:r>
      <w:r>
        <w:rPr>
          <w:rFonts w:hint="eastAsia" w:ascii="仿宋_GB2312" w:hAnsi="仿宋_GB2312" w:eastAsia="仿宋_GB2312"/>
          <w:sz w:val="32"/>
          <w:szCs w:val="32"/>
        </w:rPr>
        <w:t>。</w:t>
      </w:r>
      <w:r>
        <w:rPr>
          <w:rFonts w:hint="eastAsia" w:ascii="仿宋_GB2312" w:hAnsi="仿宋_GB2312" w:eastAsia="仿宋_GB2312" w:cs="仿宋_GB2312"/>
          <w:sz w:val="32"/>
          <w:szCs w:val="32"/>
          <w:lang w:val="en-US" w:eastAsia="zh-CN"/>
        </w:rPr>
        <w:t>根据《政府信息公开条例》要求，结合安丘实际，及时了</w:t>
      </w:r>
      <w:r>
        <w:rPr>
          <w:rFonts w:hint="eastAsia" w:ascii="仿宋_GB2312" w:hAnsi="仿宋_GB2312" w:eastAsia="仿宋_GB2312"/>
          <w:sz w:val="32"/>
          <w:szCs w:val="32"/>
        </w:rPr>
        <w:t>更新</w:t>
      </w:r>
      <w:r>
        <w:rPr>
          <w:rFonts w:hint="eastAsia" w:ascii="仿宋_GB2312" w:hAnsi="仿宋_GB2312" w:eastAsia="仿宋_GB2312"/>
          <w:sz w:val="32"/>
          <w:szCs w:val="32"/>
          <w:lang w:val="en-US" w:eastAsia="zh-CN"/>
        </w:rPr>
        <w:t>政务动态</w:t>
      </w:r>
      <w:r>
        <w:rPr>
          <w:rFonts w:hint="eastAsia" w:ascii="仿宋_GB2312" w:hAnsi="仿宋_GB2312" w:eastAsia="仿宋_GB2312"/>
          <w:sz w:val="32"/>
          <w:szCs w:val="32"/>
        </w:rPr>
        <w:t>等信息，及时在政府门户网站公开，</w:t>
      </w:r>
      <w:r>
        <w:rPr>
          <w:rFonts w:hint="eastAsia" w:ascii="仿宋_GB2312" w:hAnsi="仿宋_GB2312" w:eastAsia="仿宋_GB2312"/>
          <w:sz w:val="32"/>
          <w:szCs w:val="32"/>
          <w:lang w:val="en-US" w:eastAsia="zh-CN"/>
        </w:rPr>
        <w:t>审计结果向群众公开</w:t>
      </w:r>
      <w:r>
        <w:rPr>
          <w:rFonts w:hint="eastAsia" w:ascii="仿宋_GB2312" w:hAnsi="仿宋_GB2312" w:eastAsia="仿宋_GB2312"/>
          <w:sz w:val="32"/>
          <w:szCs w:val="32"/>
        </w:rPr>
        <w:t>。</w:t>
      </w:r>
    </w:p>
    <w:p>
      <w:pPr>
        <w:numPr>
          <w:ilvl w:val="0"/>
          <w:numId w:val="0"/>
        </w:numPr>
        <w:spacing w:line="240" w:lineRule="auto"/>
        <w:rPr>
          <w:rFonts w:hint="eastAsia" w:ascii="楷体_GB2312" w:hAnsi="楷体_GB2312" w:eastAsia="楷体_GB2312"/>
          <w:sz w:val="32"/>
          <w:szCs w:val="32"/>
          <w:lang w:eastAsia="zh-CN"/>
        </w:rPr>
      </w:pPr>
      <w:r>
        <w:rPr>
          <w:rFonts w:hint="eastAsia" w:ascii="楷体_GB2312" w:hAnsi="楷体_GB2312" w:eastAsia="楷体_GB2312"/>
          <w:sz w:val="32"/>
          <w:szCs w:val="32"/>
          <w:lang w:eastAsia="zh-CN"/>
        </w:rPr>
        <w:drawing>
          <wp:inline distT="0" distB="0" distL="114300" distR="114300">
            <wp:extent cx="5607685" cy="4871720"/>
            <wp:effectExtent l="0" t="0" r="12065" b="5080"/>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7"/>
                    <a:stretch>
                      <a:fillRect/>
                    </a:stretch>
                  </pic:blipFill>
                  <pic:spPr>
                    <a:xfrm>
                      <a:off x="0" y="0"/>
                      <a:ext cx="5607685" cy="48717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推进重点领域信息公开。一是动态公开审计监督信息，财政预决算信息、本级预算执行审计报告和其它财政收支审计报告在政府信息公开专栏主动公开，方便社会公众知晓。二是公开专项审计报告信息。《2020年全市推进“一次办好”改革和减税降费政策措施落实促进优化营商环境跟踪审计调查报告》等多个专项审计报告得到及时公开。三是公开审计查出问题整改落实情况。公开《关于安丘市2018年度市级财政预算执行和其他财政收支审计查出问题的整改情况》结果信息。</w:t>
      </w:r>
    </w:p>
    <w:p>
      <w:pPr>
        <w:numPr>
          <w:ilvl w:val="0"/>
          <w:numId w:val="0"/>
        </w:numPr>
        <w:spacing w:line="240" w:lineRule="auto"/>
        <w:rPr>
          <w:rFonts w:hint="eastAsia" w:ascii="楷体_GB2312" w:hAnsi="楷体_GB2312" w:eastAsia="楷体_GB2312"/>
          <w:sz w:val="32"/>
          <w:szCs w:val="32"/>
          <w:lang w:eastAsia="zh-CN"/>
        </w:rPr>
      </w:pPr>
      <w:r>
        <w:rPr>
          <w:rFonts w:hint="eastAsia" w:ascii="楷体_GB2312" w:hAnsi="楷体_GB2312" w:eastAsia="楷体_GB2312"/>
          <w:sz w:val="32"/>
          <w:szCs w:val="32"/>
          <w:lang w:eastAsia="zh-CN"/>
        </w:rPr>
        <w:drawing>
          <wp:inline distT="0" distB="0" distL="114300" distR="114300">
            <wp:extent cx="5610225" cy="4730750"/>
            <wp:effectExtent l="0" t="0" r="9525" b="1270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8"/>
                    <a:stretch>
                      <a:fillRect/>
                    </a:stretch>
                  </pic:blipFill>
                  <pic:spPr>
                    <a:xfrm>
                      <a:off x="0" y="0"/>
                      <a:ext cx="5610225" cy="47307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楷体_GB2312" w:hAnsi="楷体_GB2312" w:eastAsia="楷体_GB2312"/>
          <w:sz w:val="32"/>
          <w:szCs w:val="32"/>
        </w:rPr>
        <w:t>　</w:t>
      </w:r>
      <w:r>
        <w:rPr>
          <w:rFonts w:hint="eastAsia" w:ascii="仿宋_GB2312" w:hAnsi="仿宋_GB2312" w:eastAsia="仿宋_GB2312" w:cs="仿宋_GB2312"/>
          <w:sz w:val="32"/>
          <w:szCs w:val="32"/>
        </w:rPr>
        <w:t>5.加强政策解读。按照“谁起草、谁解读”的原则，同步制定发布政策解读文件</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件。</w:t>
      </w:r>
      <w:r>
        <w:rPr>
          <w:rFonts w:hint="eastAsia" w:ascii="仿宋_GB2312" w:hAnsi="仿宋_GB2312" w:eastAsia="仿宋_GB2312" w:cs="仿宋_GB2312"/>
          <w:sz w:val="32"/>
          <w:szCs w:val="32"/>
          <w:lang w:val="en-US" w:eastAsia="zh-CN"/>
        </w:rPr>
        <w:t>就审计报告作了深入解读。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sz w:val="32"/>
          <w:szCs w:val="32"/>
          <w:lang w:eastAsia="zh-CN"/>
        </w:rPr>
      </w:pPr>
      <w:r>
        <w:rPr>
          <w:rFonts w:hint="eastAsia" w:ascii="楷体_GB2312" w:hAnsi="楷体_GB2312" w:eastAsia="楷体_GB2312"/>
          <w:sz w:val="32"/>
          <w:szCs w:val="32"/>
          <w:lang w:eastAsia="zh-CN"/>
        </w:rPr>
        <w:drawing>
          <wp:inline distT="0" distB="0" distL="114300" distR="114300">
            <wp:extent cx="5612130" cy="4737735"/>
            <wp:effectExtent l="0" t="0" r="7620" b="571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9"/>
                    <a:stretch>
                      <a:fillRect/>
                    </a:stretch>
                  </pic:blipFill>
                  <pic:spPr>
                    <a:xfrm>
                      <a:off x="0" y="0"/>
                      <a:ext cx="5612130" cy="47377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i w:val="0"/>
          <w:caps w:val="0"/>
          <w:color w:val="000000"/>
          <w:spacing w:val="0"/>
          <w:sz w:val="32"/>
          <w:szCs w:val="32"/>
          <w:shd w:val="clear" w:fill="FFFFFF"/>
        </w:rPr>
        <w:t>推进行政权力运行公开。按照上级要求，全面梳理了市县两级</w:t>
      </w:r>
      <w:r>
        <w:rPr>
          <w:rFonts w:hint="eastAsia" w:ascii="仿宋_GB2312" w:hAnsi="仿宋_GB2312" w:eastAsia="仿宋_GB2312" w:cs="仿宋_GB2312"/>
          <w:i w:val="0"/>
          <w:caps w:val="0"/>
          <w:color w:val="000000"/>
          <w:spacing w:val="0"/>
          <w:sz w:val="32"/>
          <w:szCs w:val="32"/>
          <w:shd w:val="clear" w:fill="FFFFFF"/>
          <w:lang w:val="en-US" w:eastAsia="zh-CN"/>
        </w:rPr>
        <w:t>审计</w:t>
      </w:r>
      <w:r>
        <w:rPr>
          <w:rFonts w:hint="eastAsia" w:ascii="仿宋_GB2312" w:hAnsi="仿宋_GB2312" w:eastAsia="仿宋_GB2312" w:cs="仿宋_GB2312"/>
          <w:i w:val="0"/>
          <w:caps w:val="0"/>
          <w:color w:val="000000"/>
          <w:spacing w:val="0"/>
          <w:sz w:val="32"/>
          <w:szCs w:val="32"/>
          <w:shd w:val="clear" w:fill="FFFFFF"/>
        </w:rPr>
        <w:t>部门的行政权力责任事项，将权力清单、责任清单两单融合为权责清单，并在政府信息公开专栏公开。增强公开性、透明性。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sz w:val="32"/>
          <w:szCs w:val="32"/>
          <w:lang w:eastAsia="zh-CN"/>
        </w:rPr>
      </w:pPr>
      <w:r>
        <w:rPr>
          <w:rFonts w:hint="eastAsia" w:ascii="楷体_GB2312" w:hAnsi="楷体_GB2312" w:eastAsia="楷体_GB2312"/>
          <w:sz w:val="32"/>
          <w:szCs w:val="32"/>
          <w:lang w:eastAsia="zh-CN"/>
        </w:rPr>
        <w:drawing>
          <wp:inline distT="0" distB="0" distL="114300" distR="114300">
            <wp:extent cx="5610225" cy="4762500"/>
            <wp:effectExtent l="0" t="0" r="9525" b="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0"/>
                    <a:stretch>
                      <a:fillRect/>
                    </a:stretch>
                  </pic:blipFill>
                  <pic:spPr>
                    <a:xfrm>
                      <a:off x="0" y="0"/>
                      <a:ext cx="5610225" cy="47625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依申请公开情况。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1.2020年未收到政府信息公开申请。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2.申请行政复议、提起行政诉讼情况。2020年未发生因政府信息公开被行政复议、提起行政诉讼情况。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sz w:val="32"/>
          <w:szCs w:val="32"/>
        </w:rPr>
      </w:pP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rPr>
        <w:t>政府信息管理情况。</w:t>
      </w:r>
    </w:p>
    <w:p>
      <w:pPr>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完善信息公开管理流程。建立政府信息公开工作全流程管理机制，设置具体经办人员、科长、办公室</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eastAsia="zh-CN"/>
        </w:rPr>
        <w:t>道审核把关机制，重要信息须局分管负责人把关审签，最大限度保证公开内容经得起审查。</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严格做好公开信息保密审查。认真落实《中华人民共和国保守国家秘密法》《中华人民共和国政府信息公开条例》等规定，按照“先审查、后公开”的原则，严格做好政府信息公开保密审查，确保公开信息不涉密、涉密信息不公开。</w:t>
      </w:r>
    </w:p>
    <w:p>
      <w:pPr>
        <w:numPr>
          <w:ilvl w:val="0"/>
          <w:numId w:val="0"/>
        </w:numPr>
        <w:spacing w:line="560" w:lineRule="exact"/>
        <w:rPr>
          <w:rFonts w:ascii="楷体_GB2312" w:hAnsi="楷体_GB2312" w:eastAsia="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平台建设情况。</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安丘市审计局信息公开内容主要包含重点领域和基本目录两大部分，基本目录主要内容包括组织机构、政策文件、工作信息、人事信息、管理公开、服务公开、结果公开、其他信息等信息，重点领域包含财政审计、公共资源配置等信息。</w:t>
      </w:r>
    </w:p>
    <w:p>
      <w:pPr>
        <w:spacing w:line="24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610225" cy="4869815"/>
            <wp:effectExtent l="0" t="0" r="9525" b="6985"/>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1"/>
                    <a:stretch>
                      <a:fillRect/>
                    </a:stretch>
                  </pic:blipFill>
                  <pic:spPr>
                    <a:xfrm>
                      <a:off x="0" y="0"/>
                      <a:ext cx="5610225" cy="4869815"/>
                    </a:xfrm>
                    <a:prstGeom prst="rect">
                      <a:avLst/>
                    </a:prstGeom>
                  </pic:spPr>
                </pic:pic>
              </a:graphicData>
            </a:graphic>
          </wp:inline>
        </w:drawing>
      </w:r>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2.提升大力拓展微信应用。以微信公众号为阵地，打造“安丘市审计局”微信订阅号，刊发推送“精品”审计信息。</w:t>
      </w:r>
    </w:p>
    <w:p>
      <w:pPr>
        <w:spacing w:line="24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612765" cy="6783070"/>
            <wp:effectExtent l="0" t="0" r="6985" b="17780"/>
            <wp:docPr id="17" name="图片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
                    <pic:cNvPicPr>
                      <a:picLocks noChangeAspect="1"/>
                    </pic:cNvPicPr>
                  </pic:nvPicPr>
                  <pic:blipFill>
                    <a:blip r:embed="rId12"/>
                    <a:stretch>
                      <a:fillRect/>
                    </a:stretch>
                  </pic:blipFill>
                  <pic:spPr>
                    <a:xfrm>
                      <a:off x="0" y="0"/>
                      <a:ext cx="5612765" cy="6783070"/>
                    </a:xfrm>
                    <a:prstGeom prst="rect">
                      <a:avLst/>
                    </a:prstGeom>
                  </pic:spPr>
                </pic:pic>
              </a:graphicData>
            </a:graphic>
          </wp:inline>
        </w:drawing>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3.加强与新闻媒体合作。积极邀请新闻媒体宣传报道财政工作重点</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rPr>
        <w:t>、重大活动和重要节点，在</w:t>
      </w:r>
      <w:r>
        <w:rPr>
          <w:rFonts w:hint="eastAsia" w:ascii="仿宋_GB2312" w:hAnsi="仿宋_GB2312" w:eastAsia="仿宋_GB2312" w:cs="仿宋_GB2312"/>
          <w:sz w:val="32"/>
          <w:szCs w:val="32"/>
          <w:lang w:val="en-US" w:eastAsia="zh-CN"/>
        </w:rPr>
        <w:t>中国审计</w:t>
      </w:r>
      <w:r>
        <w:rPr>
          <w:rFonts w:hint="eastAsia" w:ascii="仿宋_GB2312" w:hAnsi="仿宋_GB2312" w:eastAsia="仿宋_GB2312" w:cs="仿宋_GB2312"/>
          <w:sz w:val="32"/>
          <w:szCs w:val="32"/>
        </w:rPr>
        <w:t>报等省级</w:t>
      </w:r>
      <w:r>
        <w:rPr>
          <w:rFonts w:hint="eastAsia" w:ascii="仿宋_GB2312" w:hAnsi="仿宋_GB2312" w:eastAsia="仿宋_GB2312" w:cs="仿宋_GB2312"/>
          <w:sz w:val="32"/>
          <w:szCs w:val="32"/>
          <w:lang w:val="en-US" w:eastAsia="zh-CN"/>
        </w:rPr>
        <w:t>以上</w:t>
      </w:r>
      <w:r>
        <w:rPr>
          <w:rFonts w:hint="eastAsia" w:ascii="仿宋_GB2312" w:hAnsi="仿宋_GB2312" w:eastAsia="仿宋_GB2312" w:cs="仿宋_GB2312"/>
          <w:sz w:val="32"/>
          <w:szCs w:val="32"/>
        </w:rPr>
        <w:t>官方媒体刊发稿件超过</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树立安丘审计良好形象</w:t>
      </w:r>
      <w:r>
        <w:rPr>
          <w:rFonts w:hint="eastAsia" w:ascii="仿宋_GB2312" w:hAnsi="仿宋_GB2312" w:eastAsia="仿宋_GB2312" w:cs="仿宋_GB2312"/>
          <w:sz w:val="32"/>
          <w:szCs w:val="32"/>
          <w:lang w:eastAsia="zh-CN"/>
        </w:rPr>
        <w:t>。</w:t>
      </w:r>
    </w:p>
    <w:p>
      <w:pPr>
        <w:spacing w:line="24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3826510" cy="8078470"/>
            <wp:effectExtent l="0" t="0" r="2540" b="17780"/>
            <wp:docPr id="18" name="图片 18" descr="21、22中国审计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1、22中国审计报"/>
                    <pic:cNvPicPr>
                      <a:picLocks noChangeAspect="1"/>
                    </pic:cNvPicPr>
                  </pic:nvPicPr>
                  <pic:blipFill>
                    <a:blip r:embed="rId13"/>
                    <a:stretch>
                      <a:fillRect/>
                    </a:stretch>
                  </pic:blipFill>
                  <pic:spPr>
                    <a:xfrm>
                      <a:off x="0" y="0"/>
                      <a:ext cx="3826510" cy="8078470"/>
                    </a:xfrm>
                    <a:prstGeom prst="rect">
                      <a:avLst/>
                    </a:prstGeom>
                  </pic:spPr>
                </pic:pic>
              </a:graphicData>
            </a:graphic>
          </wp:inline>
        </w:drawing>
      </w:r>
    </w:p>
    <w:p>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五）机构建设及人员配置情况。</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机构改革要求，及时调整局政务公开领导小组，重新确定分管负责人，全面负责做好局机关政府信息公开管理工作，办公室为信息公开工作机构，并安排专人具体负责，同时，局内各科室、单位也将信息公开工作作为日常工作的规定动作，适合公开发布的信息及时主动报送办公室，确保信息准确性和时效性。</w:t>
      </w:r>
    </w:p>
    <w:p>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（六）监督保障情况。</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1.强化考核监督。坚持提高站位，将政府信息公开工作，纳入年度绩效考核体系，激发局机关政府信息公开工作积极性和主动性。</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2.完善工作机制。制定《20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年政务公开工作实施方案》，明确局机关政府信息公开工作原则、年度任务和工作要求。梳理完成《市</w:t>
      </w:r>
      <w:r>
        <w:rPr>
          <w:rFonts w:hint="eastAsia" w:ascii="仿宋_GB2312" w:hAnsi="仿宋_GB2312" w:eastAsia="仿宋_GB2312" w:cs="仿宋_GB2312"/>
          <w:sz w:val="32"/>
          <w:szCs w:val="32"/>
          <w:lang w:val="en-US" w:eastAsia="zh-CN"/>
        </w:rPr>
        <w:t>审计</w:t>
      </w:r>
      <w:r>
        <w:rPr>
          <w:rFonts w:hint="eastAsia" w:ascii="仿宋_GB2312" w:hAnsi="仿宋_GB2312" w:eastAsia="仿宋_GB2312" w:cs="仿宋_GB2312"/>
          <w:sz w:val="32"/>
          <w:szCs w:val="32"/>
        </w:rPr>
        <w:t>局政府信息主动公开基本目录》，进一步明确政府信息公开的内容、时限、形式、主体等要素。以网站为依托，明确规定各科室</w:t>
      </w:r>
      <w:r>
        <w:rPr>
          <w:rFonts w:hint="eastAsia" w:ascii="仿宋_GB2312" w:hAnsi="仿宋_GB2312" w:eastAsia="仿宋_GB2312" w:cs="仿宋_GB2312"/>
          <w:sz w:val="32"/>
          <w:szCs w:val="32"/>
          <w:lang w:val="en-US" w:eastAsia="zh-CN"/>
        </w:rPr>
        <w:t>政务公开工作</w:t>
      </w:r>
      <w:r>
        <w:rPr>
          <w:rFonts w:hint="eastAsia" w:ascii="仿宋_GB2312" w:hAnsi="仿宋_GB2312" w:eastAsia="仿宋_GB2312" w:cs="仿宋_GB2312"/>
          <w:sz w:val="32"/>
          <w:szCs w:val="32"/>
        </w:rPr>
        <w:t>任务，压实各级责任。</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3.抓好队伍培训。积极参加市政府组织的政府信息公开工作会议和业务培训，主动对各科室单位政府信息公开工作</w:t>
      </w:r>
      <w:r>
        <w:rPr>
          <w:rFonts w:hint="eastAsia" w:ascii="仿宋_GB2312" w:hAnsi="仿宋_GB2312" w:eastAsia="仿宋_GB2312" w:cs="仿宋_GB2312"/>
          <w:sz w:val="32"/>
          <w:szCs w:val="32"/>
          <w:lang w:val="en-US" w:eastAsia="zh-CN"/>
        </w:rPr>
        <w:t>人员</w:t>
      </w:r>
      <w:r>
        <w:rPr>
          <w:rFonts w:hint="eastAsia" w:ascii="仿宋_GB2312" w:hAnsi="仿宋_GB2312" w:eastAsia="仿宋_GB2312" w:cs="仿宋_GB2312"/>
          <w:sz w:val="32"/>
          <w:szCs w:val="32"/>
        </w:rPr>
        <w:t>进行培训，切实提高对政府信息公开工作的认识水平和工作能力。   </w:t>
      </w:r>
    </w:p>
    <w:p>
      <w:pPr>
        <w:spacing w:line="560" w:lineRule="exact"/>
        <w:ind w:firstLine="640" w:firstLineChars="200"/>
        <w:rPr>
          <w:rFonts w:ascii="楷体_GB2312" w:hAnsi="宋体" w:eastAsia="楷体_GB2312" w:cs="楷体_GB2312"/>
          <w:i w:val="0"/>
          <w:caps w:val="0"/>
          <w:color w:val="000000"/>
          <w:spacing w:val="0"/>
          <w:sz w:val="32"/>
          <w:szCs w:val="32"/>
          <w:shd w:val="clear" w:fill="FFFFFF"/>
        </w:rPr>
      </w:pPr>
      <w:r>
        <w:rPr>
          <w:rFonts w:hint="eastAsia" w:ascii="楷体_GB2312" w:hAnsi="楷体_GB2312" w:eastAsia="楷体_GB2312" w:cs="楷体_GB2312"/>
          <w:sz w:val="32"/>
          <w:szCs w:val="32"/>
        </w:rPr>
        <w:t>（七）</w:t>
      </w:r>
      <w:r>
        <w:rPr>
          <w:rFonts w:ascii="楷体_GB2312" w:hAnsi="宋体" w:eastAsia="楷体_GB2312" w:cs="楷体_GB2312"/>
          <w:i w:val="0"/>
          <w:caps w:val="0"/>
          <w:color w:val="000000"/>
          <w:spacing w:val="0"/>
          <w:sz w:val="32"/>
          <w:szCs w:val="32"/>
          <w:shd w:val="clear" w:fill="FFFFFF"/>
        </w:rPr>
        <w:t>工作考核、社会评议和责任追究结果情况。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仿宋_GB2312"/>
          <w:i w:val="0"/>
          <w:caps w:val="0"/>
          <w:color w:val="000000"/>
          <w:spacing w:val="0"/>
          <w:sz w:val="32"/>
          <w:szCs w:val="32"/>
          <w:shd w:val="clear" w:fill="FFFFFF"/>
        </w:rPr>
      </w:pPr>
      <w:r>
        <w:rPr>
          <w:rFonts w:hint="eastAsia" w:ascii="仿宋_GB2312" w:hAnsi="宋体" w:eastAsia="仿宋_GB2312" w:cs="仿宋_GB2312"/>
          <w:i w:val="0"/>
          <w:caps w:val="0"/>
          <w:color w:val="000000"/>
          <w:spacing w:val="0"/>
          <w:sz w:val="32"/>
          <w:szCs w:val="32"/>
          <w:shd w:val="clear" w:fill="FFFFFF"/>
          <w:lang w:val="en-US" w:eastAsia="zh-CN"/>
        </w:rPr>
        <w:t>1.</w:t>
      </w:r>
      <w:r>
        <w:rPr>
          <w:rFonts w:ascii="仿宋_GB2312" w:hAnsi="宋体" w:eastAsia="仿宋_GB2312" w:cs="仿宋_GB2312"/>
          <w:i w:val="0"/>
          <w:caps w:val="0"/>
          <w:color w:val="000000"/>
          <w:spacing w:val="0"/>
          <w:sz w:val="32"/>
          <w:szCs w:val="32"/>
          <w:shd w:val="clear" w:fill="FFFFFF"/>
        </w:rPr>
        <w:t>建</w:t>
      </w:r>
      <w:r>
        <w:rPr>
          <w:rFonts w:hint="eastAsia" w:ascii="仿宋_GB2312" w:hAnsi="宋体" w:eastAsia="仿宋_GB2312" w:cs="仿宋_GB2312"/>
          <w:i w:val="0"/>
          <w:caps w:val="0"/>
          <w:color w:val="000000"/>
          <w:spacing w:val="0"/>
          <w:sz w:val="32"/>
          <w:szCs w:val="32"/>
          <w:shd w:val="clear" w:fill="FFFFFF"/>
          <w:lang w:val="en-US" w:eastAsia="zh-CN"/>
        </w:rPr>
        <w:t>立</w:t>
      </w:r>
      <w:r>
        <w:rPr>
          <w:rFonts w:ascii="仿宋_GB2312" w:hAnsi="宋体" w:eastAsia="仿宋_GB2312" w:cs="仿宋_GB2312"/>
          <w:i w:val="0"/>
          <w:caps w:val="0"/>
          <w:color w:val="000000"/>
          <w:spacing w:val="0"/>
          <w:sz w:val="32"/>
          <w:szCs w:val="32"/>
          <w:shd w:val="clear" w:fill="FFFFFF"/>
        </w:rPr>
        <w:t>考核通报制度。主动接受安丘市政府办公室对我局政务信息公开情况的监督，及时主动做好政务信息公开工作，认真做好对公开工作不到位内容的改进工作。同时，由局办公室牵头定期对各科室政务公开工作进行监督，保证政务公开信息的时效性性与准确性，发现问题及时督促相关科室限时整改，整改工作及汇报局领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仿宋_GB2312"/>
          <w:i w:val="0"/>
          <w:caps w:val="0"/>
          <w:color w:val="000000"/>
          <w:spacing w:val="0"/>
          <w:sz w:val="32"/>
          <w:szCs w:val="32"/>
          <w:shd w:val="clear" w:fill="FFFFFF"/>
        </w:rPr>
      </w:pPr>
      <w:r>
        <w:rPr>
          <w:rFonts w:hint="eastAsia" w:ascii="仿宋_GB2312" w:hAnsi="宋体" w:eastAsia="仿宋_GB2312" w:cs="仿宋_GB2312"/>
          <w:i w:val="0"/>
          <w:caps w:val="0"/>
          <w:color w:val="000000"/>
          <w:spacing w:val="0"/>
          <w:sz w:val="32"/>
          <w:szCs w:val="32"/>
          <w:shd w:val="clear" w:fill="FFFFFF"/>
          <w:lang w:val="en-US" w:eastAsia="zh-CN"/>
        </w:rPr>
        <w:t>2.</w:t>
      </w:r>
      <w:r>
        <w:rPr>
          <w:rFonts w:ascii="仿宋_GB2312" w:hAnsi="宋体" w:eastAsia="仿宋_GB2312" w:cs="仿宋_GB2312"/>
          <w:i w:val="0"/>
          <w:caps w:val="0"/>
          <w:color w:val="000000"/>
          <w:spacing w:val="0"/>
          <w:sz w:val="32"/>
          <w:szCs w:val="32"/>
          <w:shd w:val="clear" w:fill="FFFFFF"/>
        </w:rPr>
        <w:t>主动听取社会公众意见。一是对需要向社会进行意见征集的，及时通过政府网站和局公众号进行公示，并注明联系电话和邮箱，积极主动听取社会公众的意见与建议；二是通过政府开放日、志愿服务等形式主动听取市民的意见和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ascii="仿宋_GB2312" w:hAnsi="宋体" w:eastAsia="仿宋_GB2312" w:cs="仿宋_GB2312"/>
          <w:i w:val="0"/>
          <w:caps w:val="0"/>
          <w:color w:val="000000"/>
          <w:spacing w:val="0"/>
          <w:sz w:val="32"/>
          <w:szCs w:val="32"/>
          <w:shd w:val="clear" w:fill="FFFFFF"/>
        </w:rPr>
        <w:t>3.责任追究结果情况。20</w:t>
      </w:r>
      <w:r>
        <w:rPr>
          <w:rFonts w:hint="eastAsia" w:ascii="仿宋_GB2312" w:hAnsi="宋体" w:eastAsia="仿宋_GB2312" w:cs="仿宋_GB2312"/>
          <w:i w:val="0"/>
          <w:caps w:val="0"/>
          <w:color w:val="000000"/>
          <w:spacing w:val="0"/>
          <w:sz w:val="32"/>
          <w:szCs w:val="32"/>
          <w:shd w:val="clear" w:fill="FFFFFF"/>
          <w:lang w:val="en-US" w:eastAsia="zh-CN"/>
        </w:rPr>
        <w:t>20</w:t>
      </w:r>
      <w:r>
        <w:rPr>
          <w:rFonts w:ascii="仿宋_GB2312" w:hAnsi="宋体" w:eastAsia="仿宋_GB2312" w:cs="仿宋_GB2312"/>
          <w:i w:val="0"/>
          <w:caps w:val="0"/>
          <w:color w:val="000000"/>
          <w:spacing w:val="0"/>
          <w:sz w:val="32"/>
          <w:szCs w:val="32"/>
          <w:shd w:val="clear" w:fill="FFFFFF"/>
        </w:rPr>
        <w:t>年我局未出现因信息公开不到位需要进行责任追究的情况。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主动公开政府信息情况以及公开平台建设情况</w:t>
      </w:r>
    </w:p>
    <w:tbl>
      <w:tblPr>
        <w:tblStyle w:val="6"/>
        <w:tblW w:w="8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8"/>
        <w:gridCol w:w="2130"/>
        <w:gridCol w:w="2131"/>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76" w:type="dxa"/>
            <w:gridSpan w:val="4"/>
            <w:vAlign w:val="center"/>
          </w:tcPr>
          <w:p>
            <w:pPr>
              <w:spacing w:line="560" w:lineRule="exact"/>
              <w:jc w:val="center"/>
              <w:rPr>
                <w:rFonts w:ascii="宋体"/>
              </w:rPr>
            </w:pPr>
            <w:r>
              <w:rPr>
                <w:rFonts w:hint="eastAsia" w:ascii="宋体" w:hAnsi="宋体" w:cs="宋体"/>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8" w:type="dxa"/>
            <w:vAlign w:val="center"/>
          </w:tcPr>
          <w:p>
            <w:pPr>
              <w:spacing w:line="560" w:lineRule="exact"/>
              <w:jc w:val="center"/>
              <w:rPr>
                <w:rFonts w:ascii="宋体"/>
              </w:rPr>
            </w:pPr>
            <w:r>
              <w:rPr>
                <w:rFonts w:hint="eastAsia" w:ascii="宋体" w:hAnsi="宋体" w:cs="宋体"/>
              </w:rPr>
              <w:t>信息内容</w:t>
            </w:r>
          </w:p>
        </w:tc>
        <w:tc>
          <w:tcPr>
            <w:tcW w:w="2130" w:type="dxa"/>
            <w:vAlign w:val="center"/>
          </w:tcPr>
          <w:p>
            <w:pPr>
              <w:spacing w:line="560" w:lineRule="exact"/>
              <w:jc w:val="center"/>
              <w:rPr>
                <w:rFonts w:ascii="宋体"/>
              </w:rPr>
            </w:pPr>
            <w:r>
              <w:rPr>
                <w:rFonts w:hint="eastAsia" w:ascii="宋体" w:hAnsi="宋体" w:cs="宋体"/>
              </w:rPr>
              <w:t>本年新制作数量</w:t>
            </w:r>
          </w:p>
        </w:tc>
        <w:tc>
          <w:tcPr>
            <w:tcW w:w="2131" w:type="dxa"/>
            <w:vAlign w:val="center"/>
          </w:tcPr>
          <w:p>
            <w:pPr>
              <w:spacing w:line="560" w:lineRule="exact"/>
              <w:jc w:val="center"/>
              <w:rPr>
                <w:rFonts w:ascii="宋体"/>
              </w:rPr>
            </w:pPr>
            <w:r>
              <w:rPr>
                <w:rFonts w:hint="eastAsia" w:ascii="宋体" w:hAnsi="宋体" w:cs="宋体"/>
              </w:rPr>
              <w:t>本年新公开数量</w:t>
            </w:r>
          </w:p>
        </w:tc>
        <w:tc>
          <w:tcPr>
            <w:tcW w:w="2037" w:type="dxa"/>
            <w:vAlign w:val="center"/>
          </w:tcPr>
          <w:p>
            <w:pPr>
              <w:spacing w:line="560" w:lineRule="exact"/>
              <w:jc w:val="center"/>
              <w:rPr>
                <w:rFonts w:ascii="宋体"/>
              </w:rPr>
            </w:pPr>
            <w:r>
              <w:rPr>
                <w:rFonts w:hint="eastAsia" w:ascii="宋体" w:hAnsi="宋体" w:cs="宋体"/>
              </w:rPr>
              <w:t>对外公开总数量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8" w:type="dxa"/>
            <w:vAlign w:val="center"/>
          </w:tcPr>
          <w:p>
            <w:pPr>
              <w:spacing w:line="560" w:lineRule="exact"/>
              <w:jc w:val="center"/>
              <w:rPr>
                <w:rFonts w:ascii="宋体"/>
              </w:rPr>
            </w:pPr>
            <w:r>
              <w:rPr>
                <w:rFonts w:hint="eastAsia" w:ascii="宋体" w:hAnsi="宋体" w:cs="宋体"/>
              </w:rPr>
              <w:t>规章</w:t>
            </w:r>
          </w:p>
        </w:tc>
        <w:tc>
          <w:tcPr>
            <w:tcW w:w="2130" w:type="dxa"/>
            <w:vAlign w:val="center"/>
          </w:tcPr>
          <w:p>
            <w:pPr>
              <w:spacing w:line="560" w:lineRule="exact"/>
              <w:jc w:val="center"/>
              <w:rPr>
                <w:rFonts w:ascii="宋体" w:cs="宋体"/>
              </w:rPr>
            </w:pPr>
            <w:r>
              <w:rPr>
                <w:rFonts w:ascii="宋体" w:cs="宋体"/>
              </w:rPr>
              <w:t>0</w:t>
            </w:r>
          </w:p>
        </w:tc>
        <w:tc>
          <w:tcPr>
            <w:tcW w:w="2131" w:type="dxa"/>
            <w:vAlign w:val="center"/>
          </w:tcPr>
          <w:p>
            <w:pPr>
              <w:spacing w:line="560" w:lineRule="exact"/>
              <w:jc w:val="center"/>
              <w:rPr>
                <w:rFonts w:ascii="宋体" w:cs="宋体"/>
              </w:rPr>
            </w:pPr>
            <w:r>
              <w:rPr>
                <w:rFonts w:ascii="宋体" w:cs="宋体"/>
              </w:rPr>
              <w:t>0</w:t>
            </w:r>
          </w:p>
        </w:tc>
        <w:tc>
          <w:tcPr>
            <w:tcW w:w="2037" w:type="dxa"/>
            <w:vAlign w:val="center"/>
          </w:tcPr>
          <w:p>
            <w:pPr>
              <w:spacing w:line="560" w:lineRule="exact"/>
              <w:jc w:val="center"/>
              <w:rPr>
                <w:rFonts w:ascii="宋体" w:cs="宋体"/>
              </w:rPr>
            </w:pPr>
            <w:r>
              <w:rPr>
                <w:rFonts w:ascii="宋体" w:cs="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8" w:type="dxa"/>
            <w:vAlign w:val="center"/>
          </w:tcPr>
          <w:p>
            <w:pPr>
              <w:spacing w:line="560" w:lineRule="exact"/>
              <w:jc w:val="center"/>
              <w:rPr>
                <w:rFonts w:ascii="宋体"/>
              </w:rPr>
            </w:pPr>
            <w:r>
              <w:rPr>
                <w:rFonts w:hint="eastAsia" w:ascii="宋体" w:hAnsi="宋体" w:cs="宋体"/>
              </w:rPr>
              <w:t>规范性文件</w:t>
            </w:r>
          </w:p>
        </w:tc>
        <w:tc>
          <w:tcPr>
            <w:tcW w:w="2130" w:type="dxa"/>
            <w:vAlign w:val="center"/>
          </w:tcPr>
          <w:p>
            <w:pPr>
              <w:spacing w:line="560" w:lineRule="exact"/>
              <w:jc w:val="center"/>
              <w:rPr>
                <w:rFonts w:ascii="宋体" w:cs="宋体"/>
              </w:rPr>
            </w:pPr>
            <w:r>
              <w:rPr>
                <w:rFonts w:ascii="宋体" w:cs="宋体"/>
              </w:rPr>
              <w:t>0</w:t>
            </w:r>
          </w:p>
        </w:tc>
        <w:tc>
          <w:tcPr>
            <w:tcW w:w="2131" w:type="dxa"/>
            <w:vAlign w:val="center"/>
          </w:tcPr>
          <w:p>
            <w:pPr>
              <w:spacing w:line="560" w:lineRule="exact"/>
              <w:jc w:val="center"/>
              <w:rPr>
                <w:rFonts w:ascii="宋体" w:cs="宋体"/>
              </w:rPr>
            </w:pPr>
            <w:r>
              <w:rPr>
                <w:rFonts w:ascii="宋体" w:cs="宋体"/>
              </w:rPr>
              <w:t>0</w:t>
            </w:r>
          </w:p>
        </w:tc>
        <w:tc>
          <w:tcPr>
            <w:tcW w:w="2037" w:type="dxa"/>
            <w:vAlign w:val="center"/>
          </w:tcPr>
          <w:p>
            <w:pPr>
              <w:spacing w:line="560" w:lineRule="exact"/>
              <w:jc w:val="center"/>
              <w:rPr>
                <w:rFonts w:ascii="宋体" w:cs="宋体"/>
              </w:rPr>
            </w:pPr>
            <w:r>
              <w:rPr>
                <w:rFonts w:ascii="宋体" w:cs="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76" w:type="dxa"/>
            <w:gridSpan w:val="4"/>
            <w:vAlign w:val="center"/>
          </w:tcPr>
          <w:p>
            <w:pPr>
              <w:tabs>
                <w:tab w:val="left" w:pos="2345"/>
              </w:tabs>
              <w:spacing w:line="560" w:lineRule="exact"/>
              <w:jc w:val="center"/>
              <w:rPr>
                <w:rFonts w:ascii="宋体"/>
              </w:rPr>
            </w:pPr>
            <w:r>
              <w:rPr>
                <w:rFonts w:hint="eastAsia" w:ascii="宋体" w:hAnsi="宋体" w:cs="宋体"/>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8" w:type="dxa"/>
            <w:vAlign w:val="center"/>
          </w:tcPr>
          <w:p>
            <w:pPr>
              <w:spacing w:line="560" w:lineRule="exact"/>
              <w:jc w:val="center"/>
              <w:rPr>
                <w:rFonts w:ascii="宋体"/>
              </w:rPr>
            </w:pPr>
            <w:r>
              <w:rPr>
                <w:rFonts w:hint="eastAsia" w:ascii="宋体" w:hAnsi="宋体" w:cs="宋体"/>
              </w:rPr>
              <w:t>信息内容</w:t>
            </w:r>
          </w:p>
        </w:tc>
        <w:tc>
          <w:tcPr>
            <w:tcW w:w="2130" w:type="dxa"/>
            <w:vAlign w:val="center"/>
          </w:tcPr>
          <w:p>
            <w:pPr>
              <w:spacing w:line="560" w:lineRule="exact"/>
              <w:jc w:val="center"/>
              <w:rPr>
                <w:rFonts w:ascii="宋体"/>
              </w:rPr>
            </w:pPr>
            <w:r>
              <w:rPr>
                <w:rFonts w:hint="eastAsia" w:ascii="宋体" w:hAnsi="宋体" w:cs="宋体"/>
              </w:rPr>
              <w:t>上一年项目数量</w:t>
            </w:r>
          </w:p>
        </w:tc>
        <w:tc>
          <w:tcPr>
            <w:tcW w:w="2131" w:type="dxa"/>
            <w:vAlign w:val="center"/>
          </w:tcPr>
          <w:p>
            <w:pPr>
              <w:spacing w:line="560" w:lineRule="exact"/>
              <w:jc w:val="center"/>
              <w:rPr>
                <w:rFonts w:ascii="宋体"/>
              </w:rPr>
            </w:pPr>
            <w:r>
              <w:rPr>
                <w:rFonts w:hint="eastAsia" w:ascii="宋体" w:hAnsi="宋体" w:cs="宋体"/>
              </w:rPr>
              <w:t>本年增</w:t>
            </w:r>
            <w:r>
              <w:rPr>
                <w:rFonts w:ascii="宋体" w:hAnsi="宋体" w:cs="宋体"/>
              </w:rPr>
              <w:t>/</w:t>
            </w:r>
            <w:r>
              <w:rPr>
                <w:rFonts w:hint="eastAsia" w:ascii="宋体" w:hAnsi="宋体" w:cs="宋体"/>
              </w:rPr>
              <w:t>减</w:t>
            </w:r>
          </w:p>
        </w:tc>
        <w:tc>
          <w:tcPr>
            <w:tcW w:w="2037" w:type="dxa"/>
            <w:vAlign w:val="center"/>
          </w:tcPr>
          <w:p>
            <w:pPr>
              <w:spacing w:line="560" w:lineRule="exact"/>
              <w:jc w:val="center"/>
              <w:rPr>
                <w:rFonts w:ascii="宋体"/>
              </w:rPr>
            </w:pPr>
            <w:r>
              <w:rPr>
                <w:rFonts w:hint="eastAsia" w:ascii="宋体" w:hAnsi="宋体" w:cs="宋体"/>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8" w:type="dxa"/>
            <w:vAlign w:val="center"/>
          </w:tcPr>
          <w:p>
            <w:pPr>
              <w:spacing w:line="560" w:lineRule="exact"/>
              <w:jc w:val="center"/>
              <w:rPr>
                <w:rFonts w:ascii="宋体"/>
              </w:rPr>
            </w:pPr>
            <w:r>
              <w:rPr>
                <w:rFonts w:hint="eastAsia" w:ascii="宋体" w:hAnsi="宋体" w:cs="宋体"/>
              </w:rPr>
              <w:t>行政许可</w:t>
            </w:r>
          </w:p>
        </w:tc>
        <w:tc>
          <w:tcPr>
            <w:tcW w:w="2130" w:type="dxa"/>
            <w:vAlign w:val="center"/>
          </w:tcPr>
          <w:p>
            <w:pPr>
              <w:spacing w:line="560" w:lineRule="exact"/>
              <w:jc w:val="center"/>
              <w:rPr>
                <w:rFonts w:ascii="宋体" w:cs="宋体"/>
              </w:rPr>
            </w:pPr>
            <w:r>
              <w:rPr>
                <w:rFonts w:ascii="宋体" w:cs="宋体"/>
              </w:rPr>
              <w:t>0</w:t>
            </w:r>
          </w:p>
        </w:tc>
        <w:tc>
          <w:tcPr>
            <w:tcW w:w="2131" w:type="dxa"/>
            <w:vAlign w:val="center"/>
          </w:tcPr>
          <w:p>
            <w:pPr>
              <w:spacing w:line="560" w:lineRule="exact"/>
              <w:jc w:val="center"/>
              <w:rPr>
                <w:rFonts w:ascii="宋体" w:cs="宋体"/>
              </w:rPr>
            </w:pPr>
            <w:r>
              <w:rPr>
                <w:rFonts w:ascii="宋体" w:cs="宋体"/>
              </w:rPr>
              <w:t>0</w:t>
            </w:r>
          </w:p>
        </w:tc>
        <w:tc>
          <w:tcPr>
            <w:tcW w:w="2037" w:type="dxa"/>
            <w:vAlign w:val="center"/>
          </w:tcPr>
          <w:p>
            <w:pPr>
              <w:spacing w:line="560" w:lineRule="exact"/>
              <w:jc w:val="center"/>
              <w:rPr>
                <w:rFonts w:ascii="宋体" w:cs="宋体"/>
              </w:rPr>
            </w:pPr>
            <w:r>
              <w:rPr>
                <w:rFonts w:ascii="宋体" w:cs="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8" w:type="dxa"/>
            <w:vAlign w:val="center"/>
          </w:tcPr>
          <w:p>
            <w:pPr>
              <w:jc w:val="center"/>
              <w:rPr>
                <w:rFonts w:ascii="宋体"/>
              </w:rPr>
            </w:pPr>
            <w:r>
              <w:rPr>
                <w:rFonts w:hint="eastAsia" w:ascii="宋体" w:hAnsi="宋体" w:cs="宋体"/>
              </w:rPr>
              <w:t>其他对外管理服务事项</w:t>
            </w:r>
          </w:p>
        </w:tc>
        <w:tc>
          <w:tcPr>
            <w:tcW w:w="2130" w:type="dxa"/>
            <w:vAlign w:val="center"/>
          </w:tcPr>
          <w:p>
            <w:pPr>
              <w:spacing w:line="560" w:lineRule="exact"/>
              <w:jc w:val="center"/>
              <w:rPr>
                <w:rFonts w:ascii="宋体" w:cs="宋体"/>
              </w:rPr>
            </w:pPr>
            <w:r>
              <w:rPr>
                <w:rFonts w:ascii="宋体" w:cs="宋体"/>
              </w:rPr>
              <w:t>0</w:t>
            </w:r>
          </w:p>
        </w:tc>
        <w:tc>
          <w:tcPr>
            <w:tcW w:w="2131" w:type="dxa"/>
            <w:vAlign w:val="center"/>
          </w:tcPr>
          <w:p>
            <w:pPr>
              <w:spacing w:line="560" w:lineRule="exact"/>
              <w:jc w:val="center"/>
              <w:rPr>
                <w:rFonts w:ascii="宋体" w:cs="宋体"/>
              </w:rPr>
            </w:pPr>
            <w:r>
              <w:rPr>
                <w:rFonts w:ascii="宋体" w:cs="宋体"/>
              </w:rPr>
              <w:t>0</w:t>
            </w:r>
          </w:p>
        </w:tc>
        <w:tc>
          <w:tcPr>
            <w:tcW w:w="2037" w:type="dxa"/>
            <w:vAlign w:val="center"/>
          </w:tcPr>
          <w:p>
            <w:pPr>
              <w:spacing w:line="560" w:lineRule="exact"/>
              <w:jc w:val="center"/>
              <w:rPr>
                <w:rFonts w:ascii="宋体" w:cs="宋体"/>
              </w:rPr>
            </w:pPr>
            <w:r>
              <w:rPr>
                <w:rFonts w:ascii="宋体" w:cs="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76" w:type="dxa"/>
            <w:gridSpan w:val="4"/>
            <w:vAlign w:val="center"/>
          </w:tcPr>
          <w:p>
            <w:pPr>
              <w:spacing w:line="560" w:lineRule="exact"/>
              <w:jc w:val="center"/>
              <w:rPr>
                <w:rFonts w:ascii="宋体"/>
              </w:rPr>
            </w:pPr>
            <w:r>
              <w:rPr>
                <w:rFonts w:hint="eastAsia" w:ascii="宋体" w:hAnsi="宋体" w:cs="宋体"/>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8" w:type="dxa"/>
            <w:vAlign w:val="center"/>
          </w:tcPr>
          <w:p>
            <w:pPr>
              <w:spacing w:line="560" w:lineRule="exact"/>
              <w:jc w:val="center"/>
              <w:rPr>
                <w:rFonts w:ascii="宋体"/>
              </w:rPr>
            </w:pPr>
            <w:r>
              <w:rPr>
                <w:rFonts w:hint="eastAsia" w:ascii="宋体" w:hAnsi="宋体" w:cs="宋体"/>
              </w:rPr>
              <w:t>信息内容</w:t>
            </w:r>
          </w:p>
        </w:tc>
        <w:tc>
          <w:tcPr>
            <w:tcW w:w="2130" w:type="dxa"/>
            <w:vAlign w:val="center"/>
          </w:tcPr>
          <w:p>
            <w:pPr>
              <w:spacing w:line="560" w:lineRule="exact"/>
              <w:jc w:val="center"/>
              <w:rPr>
                <w:rFonts w:ascii="宋体"/>
              </w:rPr>
            </w:pPr>
            <w:r>
              <w:rPr>
                <w:rFonts w:hint="eastAsia" w:ascii="宋体" w:hAnsi="宋体" w:cs="宋体"/>
              </w:rPr>
              <w:t>上一年项目数量</w:t>
            </w:r>
          </w:p>
        </w:tc>
        <w:tc>
          <w:tcPr>
            <w:tcW w:w="2131" w:type="dxa"/>
            <w:vAlign w:val="center"/>
          </w:tcPr>
          <w:p>
            <w:pPr>
              <w:spacing w:line="560" w:lineRule="exact"/>
              <w:jc w:val="center"/>
              <w:rPr>
                <w:rFonts w:ascii="宋体"/>
              </w:rPr>
            </w:pPr>
            <w:r>
              <w:rPr>
                <w:rFonts w:hint="eastAsia" w:ascii="宋体" w:hAnsi="宋体" w:cs="宋体"/>
              </w:rPr>
              <w:t>本年增</w:t>
            </w:r>
          </w:p>
        </w:tc>
        <w:tc>
          <w:tcPr>
            <w:tcW w:w="2037" w:type="dxa"/>
            <w:vAlign w:val="center"/>
          </w:tcPr>
          <w:p>
            <w:pPr>
              <w:spacing w:line="560" w:lineRule="exact"/>
              <w:jc w:val="center"/>
              <w:rPr>
                <w:rFonts w:ascii="宋体"/>
              </w:rPr>
            </w:pPr>
            <w:r>
              <w:rPr>
                <w:rFonts w:hint="eastAsia" w:ascii="宋体" w:hAnsi="宋体" w:cs="宋体"/>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8" w:type="dxa"/>
            <w:vAlign w:val="center"/>
          </w:tcPr>
          <w:p>
            <w:pPr>
              <w:spacing w:line="560" w:lineRule="exact"/>
              <w:jc w:val="center"/>
              <w:rPr>
                <w:rFonts w:ascii="宋体"/>
              </w:rPr>
            </w:pPr>
            <w:r>
              <w:rPr>
                <w:rFonts w:hint="eastAsia" w:ascii="宋体" w:hAnsi="宋体" w:cs="宋体"/>
              </w:rPr>
              <w:t>行政处罚</w:t>
            </w:r>
          </w:p>
        </w:tc>
        <w:tc>
          <w:tcPr>
            <w:tcW w:w="2130" w:type="dxa"/>
            <w:vAlign w:val="center"/>
          </w:tcPr>
          <w:p>
            <w:pPr>
              <w:spacing w:line="560" w:lineRule="exact"/>
              <w:jc w:val="center"/>
              <w:rPr>
                <w:rFonts w:ascii="宋体" w:cs="宋体"/>
              </w:rPr>
            </w:pPr>
            <w:r>
              <w:rPr>
                <w:rFonts w:ascii="宋体" w:cs="宋体"/>
              </w:rPr>
              <w:t>0</w:t>
            </w:r>
          </w:p>
        </w:tc>
        <w:tc>
          <w:tcPr>
            <w:tcW w:w="2131" w:type="dxa"/>
            <w:vAlign w:val="center"/>
          </w:tcPr>
          <w:p>
            <w:pPr>
              <w:spacing w:line="560" w:lineRule="exact"/>
              <w:jc w:val="center"/>
              <w:rPr>
                <w:rFonts w:ascii="宋体" w:cs="宋体"/>
              </w:rPr>
            </w:pPr>
            <w:r>
              <w:rPr>
                <w:rFonts w:ascii="宋体" w:cs="宋体"/>
              </w:rPr>
              <w:t>0</w:t>
            </w:r>
          </w:p>
        </w:tc>
        <w:tc>
          <w:tcPr>
            <w:tcW w:w="2037" w:type="dxa"/>
            <w:vAlign w:val="center"/>
          </w:tcPr>
          <w:p>
            <w:pPr>
              <w:spacing w:line="560" w:lineRule="exact"/>
              <w:jc w:val="center"/>
              <w:rPr>
                <w:rFonts w:ascii="宋体" w:cs="宋体"/>
              </w:rPr>
            </w:pPr>
            <w:r>
              <w:rPr>
                <w:rFonts w:ascii="宋体" w:cs="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8" w:type="dxa"/>
            <w:vAlign w:val="center"/>
          </w:tcPr>
          <w:p>
            <w:pPr>
              <w:spacing w:line="560" w:lineRule="exact"/>
              <w:jc w:val="center"/>
              <w:rPr>
                <w:rFonts w:ascii="宋体"/>
              </w:rPr>
            </w:pPr>
            <w:r>
              <w:rPr>
                <w:rFonts w:hint="eastAsia" w:ascii="宋体" w:hAnsi="宋体" w:cs="宋体"/>
              </w:rPr>
              <w:t>行政强制</w:t>
            </w:r>
          </w:p>
        </w:tc>
        <w:tc>
          <w:tcPr>
            <w:tcW w:w="2130" w:type="dxa"/>
            <w:vAlign w:val="center"/>
          </w:tcPr>
          <w:p>
            <w:pPr>
              <w:spacing w:line="560" w:lineRule="exact"/>
              <w:jc w:val="center"/>
              <w:rPr>
                <w:rFonts w:ascii="宋体" w:cs="宋体"/>
              </w:rPr>
            </w:pPr>
            <w:r>
              <w:rPr>
                <w:rFonts w:ascii="宋体" w:cs="宋体"/>
              </w:rPr>
              <w:t>0</w:t>
            </w:r>
          </w:p>
        </w:tc>
        <w:tc>
          <w:tcPr>
            <w:tcW w:w="2131" w:type="dxa"/>
            <w:vAlign w:val="center"/>
          </w:tcPr>
          <w:p>
            <w:pPr>
              <w:spacing w:line="560" w:lineRule="exact"/>
              <w:jc w:val="center"/>
              <w:rPr>
                <w:rFonts w:ascii="宋体" w:cs="宋体"/>
              </w:rPr>
            </w:pPr>
            <w:r>
              <w:rPr>
                <w:rFonts w:ascii="宋体" w:cs="宋体"/>
              </w:rPr>
              <w:t>0</w:t>
            </w:r>
          </w:p>
        </w:tc>
        <w:tc>
          <w:tcPr>
            <w:tcW w:w="2037" w:type="dxa"/>
            <w:vAlign w:val="center"/>
          </w:tcPr>
          <w:p>
            <w:pPr>
              <w:spacing w:line="560" w:lineRule="exact"/>
              <w:jc w:val="center"/>
              <w:rPr>
                <w:rFonts w:ascii="宋体" w:cs="宋体"/>
              </w:rPr>
            </w:pPr>
            <w:r>
              <w:rPr>
                <w:rFonts w:ascii="宋体" w:cs="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76" w:type="dxa"/>
            <w:gridSpan w:val="4"/>
            <w:vAlign w:val="center"/>
          </w:tcPr>
          <w:p>
            <w:pPr>
              <w:spacing w:line="560" w:lineRule="exact"/>
              <w:jc w:val="center"/>
              <w:rPr>
                <w:rFonts w:ascii="宋体"/>
              </w:rPr>
            </w:pPr>
            <w:r>
              <w:rPr>
                <w:rFonts w:hint="eastAsia" w:ascii="宋体" w:hAnsi="宋体" w:cs="宋体"/>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8" w:type="dxa"/>
            <w:vAlign w:val="center"/>
          </w:tcPr>
          <w:p>
            <w:pPr>
              <w:spacing w:line="560" w:lineRule="exact"/>
              <w:jc w:val="center"/>
              <w:rPr>
                <w:rFonts w:ascii="宋体"/>
              </w:rPr>
            </w:pPr>
            <w:r>
              <w:rPr>
                <w:rFonts w:hint="eastAsia" w:ascii="宋体" w:hAnsi="宋体" w:cs="宋体"/>
              </w:rPr>
              <w:t>信息内容</w:t>
            </w:r>
          </w:p>
        </w:tc>
        <w:tc>
          <w:tcPr>
            <w:tcW w:w="2130" w:type="dxa"/>
            <w:vAlign w:val="center"/>
          </w:tcPr>
          <w:p>
            <w:pPr>
              <w:spacing w:line="560" w:lineRule="exact"/>
              <w:jc w:val="center"/>
              <w:rPr>
                <w:rFonts w:ascii="宋体"/>
              </w:rPr>
            </w:pPr>
            <w:r>
              <w:rPr>
                <w:rFonts w:hint="eastAsia" w:ascii="宋体" w:hAnsi="宋体" w:cs="宋体"/>
              </w:rPr>
              <w:t>上一年项目数量</w:t>
            </w:r>
          </w:p>
        </w:tc>
        <w:tc>
          <w:tcPr>
            <w:tcW w:w="4168" w:type="dxa"/>
            <w:gridSpan w:val="2"/>
            <w:vAlign w:val="center"/>
          </w:tcPr>
          <w:p>
            <w:pPr>
              <w:spacing w:line="560" w:lineRule="exact"/>
              <w:jc w:val="center"/>
              <w:rPr>
                <w:rFonts w:ascii="宋体"/>
              </w:rPr>
            </w:pPr>
            <w:r>
              <w:rPr>
                <w:rFonts w:hint="eastAsia" w:ascii="宋体" w:hAnsi="宋体" w:cs="宋体"/>
              </w:rPr>
              <w:t>本年增</w:t>
            </w:r>
            <w:r>
              <w:rPr>
                <w:rFonts w:ascii="宋体" w:hAnsi="宋体" w:cs="宋体"/>
              </w:rPr>
              <w:t>/</w:t>
            </w:r>
            <w:r>
              <w:rPr>
                <w:rFonts w:hint="eastAsia" w:ascii="宋体" w:hAnsi="宋体" w:cs="宋体"/>
              </w:rPr>
              <w:t>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978" w:type="dxa"/>
            <w:vAlign w:val="center"/>
          </w:tcPr>
          <w:p>
            <w:pPr>
              <w:spacing w:line="560" w:lineRule="exact"/>
              <w:jc w:val="center"/>
              <w:rPr>
                <w:rFonts w:ascii="宋体"/>
              </w:rPr>
            </w:pPr>
            <w:r>
              <w:rPr>
                <w:rFonts w:hint="eastAsia" w:ascii="宋体" w:hAnsi="宋体" w:cs="宋体"/>
              </w:rPr>
              <w:t>行政事业性收费</w:t>
            </w:r>
          </w:p>
        </w:tc>
        <w:tc>
          <w:tcPr>
            <w:tcW w:w="2130" w:type="dxa"/>
            <w:vAlign w:val="center"/>
          </w:tcPr>
          <w:p>
            <w:pPr>
              <w:spacing w:line="560" w:lineRule="exact"/>
              <w:jc w:val="center"/>
              <w:rPr>
                <w:rFonts w:ascii="宋体" w:cs="宋体"/>
              </w:rPr>
            </w:pPr>
            <w:r>
              <w:rPr>
                <w:rFonts w:ascii="宋体" w:cs="宋体"/>
              </w:rPr>
              <w:t>0</w:t>
            </w:r>
          </w:p>
        </w:tc>
        <w:tc>
          <w:tcPr>
            <w:tcW w:w="4168" w:type="dxa"/>
            <w:gridSpan w:val="2"/>
            <w:vAlign w:val="center"/>
          </w:tcPr>
          <w:p>
            <w:pPr>
              <w:spacing w:line="560" w:lineRule="exact"/>
              <w:jc w:val="center"/>
              <w:rPr>
                <w:rFonts w:ascii="宋体" w:cs="宋体"/>
              </w:rPr>
            </w:pPr>
            <w:r>
              <w:rPr>
                <w:rFonts w:ascii="宋体" w:cs="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76" w:type="dxa"/>
            <w:gridSpan w:val="4"/>
            <w:vAlign w:val="center"/>
          </w:tcPr>
          <w:p>
            <w:pPr>
              <w:spacing w:line="560" w:lineRule="exact"/>
              <w:jc w:val="center"/>
              <w:rPr>
                <w:rFonts w:ascii="宋体"/>
              </w:rPr>
            </w:pPr>
            <w:r>
              <w:rPr>
                <w:rFonts w:hint="eastAsia" w:ascii="宋体" w:hAnsi="宋体" w:cs="宋体"/>
              </w:rPr>
              <w:t>第二十条第（九）项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8" w:type="dxa"/>
            <w:vAlign w:val="center"/>
          </w:tcPr>
          <w:p>
            <w:pPr>
              <w:spacing w:line="560" w:lineRule="exact"/>
              <w:jc w:val="center"/>
              <w:rPr>
                <w:rFonts w:ascii="宋体"/>
              </w:rPr>
            </w:pPr>
            <w:r>
              <w:rPr>
                <w:rFonts w:hint="eastAsia" w:ascii="宋体" w:hAnsi="宋体" w:cs="宋体"/>
              </w:rPr>
              <w:t>信息内容</w:t>
            </w:r>
          </w:p>
        </w:tc>
        <w:tc>
          <w:tcPr>
            <w:tcW w:w="2130" w:type="dxa"/>
            <w:vAlign w:val="center"/>
          </w:tcPr>
          <w:p>
            <w:pPr>
              <w:spacing w:line="560" w:lineRule="exact"/>
              <w:jc w:val="center"/>
              <w:rPr>
                <w:rFonts w:ascii="宋体"/>
              </w:rPr>
            </w:pPr>
            <w:r>
              <w:rPr>
                <w:rFonts w:hint="eastAsia" w:ascii="宋体" w:hAnsi="宋体" w:cs="宋体"/>
              </w:rPr>
              <w:t>采购项目数量</w:t>
            </w:r>
          </w:p>
        </w:tc>
        <w:tc>
          <w:tcPr>
            <w:tcW w:w="4168" w:type="dxa"/>
            <w:gridSpan w:val="2"/>
            <w:vAlign w:val="center"/>
          </w:tcPr>
          <w:p>
            <w:pPr>
              <w:spacing w:line="560" w:lineRule="exact"/>
              <w:jc w:val="center"/>
              <w:rPr>
                <w:rFonts w:ascii="宋体"/>
              </w:rPr>
            </w:pPr>
            <w:r>
              <w:rPr>
                <w:rFonts w:hint="eastAsia" w:ascii="宋体" w:hAnsi="宋体" w:cs="宋体"/>
              </w:rPr>
              <w:t>采购总金额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8" w:type="dxa"/>
            <w:vAlign w:val="center"/>
          </w:tcPr>
          <w:p>
            <w:pPr>
              <w:spacing w:line="560" w:lineRule="exact"/>
              <w:jc w:val="center"/>
              <w:rPr>
                <w:rFonts w:ascii="宋体"/>
              </w:rPr>
            </w:pPr>
            <w:r>
              <w:rPr>
                <w:rFonts w:hint="eastAsia" w:ascii="宋体" w:hAnsi="宋体" w:cs="宋体"/>
              </w:rPr>
              <w:t>政府集中采购</w:t>
            </w:r>
          </w:p>
        </w:tc>
        <w:tc>
          <w:tcPr>
            <w:tcW w:w="2130" w:type="dxa"/>
            <w:vAlign w:val="center"/>
          </w:tcPr>
          <w:p>
            <w:pPr>
              <w:spacing w:line="560" w:lineRule="exact"/>
              <w:jc w:val="center"/>
              <w:rPr>
                <w:rFonts w:ascii="宋体" w:cs="宋体"/>
              </w:rPr>
            </w:pPr>
            <w:r>
              <w:rPr>
                <w:rFonts w:ascii="宋体" w:cs="宋体"/>
              </w:rPr>
              <w:t>0</w:t>
            </w:r>
          </w:p>
        </w:tc>
        <w:tc>
          <w:tcPr>
            <w:tcW w:w="4168" w:type="dxa"/>
            <w:gridSpan w:val="2"/>
            <w:vAlign w:val="center"/>
          </w:tcPr>
          <w:p>
            <w:pPr>
              <w:spacing w:line="560" w:lineRule="exact"/>
              <w:jc w:val="center"/>
              <w:rPr>
                <w:rFonts w:ascii="宋体" w:cs="宋体"/>
              </w:rPr>
            </w:pPr>
            <w:r>
              <w:rPr>
                <w:rFonts w:ascii="宋体" w:cs="宋体"/>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收到和处理政府信息公开申请情况</w:t>
      </w:r>
    </w:p>
    <w:tbl>
      <w:tblPr>
        <w:tblStyle w:val="6"/>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125"/>
        <w:gridCol w:w="2454"/>
        <w:gridCol w:w="586"/>
        <w:gridCol w:w="641"/>
        <w:gridCol w:w="600"/>
        <w:gridCol w:w="614"/>
        <w:gridCol w:w="614"/>
        <w:gridCol w:w="613"/>
        <w:gridCol w:w="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5" w:type="dxa"/>
            <w:gridSpan w:val="3"/>
            <w:vMerge w:val="restart"/>
            <w:vAlign w:val="center"/>
          </w:tcPr>
          <w:p>
            <w:pPr>
              <w:spacing w:line="220" w:lineRule="atLeast"/>
              <w:rPr>
                <w:rFonts w:ascii="宋体"/>
                <w:sz w:val="18"/>
                <w:szCs w:val="18"/>
              </w:rPr>
            </w:pPr>
            <w:r>
              <w:rPr>
                <w:rFonts w:hint="eastAsia" w:ascii="宋体" w:hAnsi="宋体" w:cs="宋体"/>
                <w:sz w:val="18"/>
                <w:szCs w:val="18"/>
              </w:rPr>
              <w:t>（本列数据的勾稽关系为：第一项加第二项之和，等于第三项加第四项之和）</w:t>
            </w:r>
          </w:p>
        </w:tc>
        <w:tc>
          <w:tcPr>
            <w:tcW w:w="4254" w:type="dxa"/>
            <w:gridSpan w:val="7"/>
            <w:vAlign w:val="center"/>
          </w:tcPr>
          <w:p>
            <w:pPr>
              <w:spacing w:line="220" w:lineRule="atLeast"/>
              <w:jc w:val="center"/>
              <w:rPr>
                <w:rFonts w:ascii="宋体"/>
                <w:sz w:val="18"/>
                <w:szCs w:val="18"/>
              </w:rPr>
            </w:pPr>
            <w:r>
              <w:rPr>
                <w:rFonts w:hint="eastAsia" w:ascii="宋体" w:hAnsi="宋体" w:cs="宋体"/>
                <w:sz w:val="18"/>
                <w:szCs w:val="18"/>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5" w:type="dxa"/>
            <w:gridSpan w:val="3"/>
            <w:vMerge w:val="continue"/>
            <w:vAlign w:val="center"/>
          </w:tcPr>
          <w:p>
            <w:pPr>
              <w:spacing w:line="220" w:lineRule="atLeast"/>
              <w:jc w:val="center"/>
              <w:rPr>
                <w:rFonts w:ascii="宋体"/>
                <w:sz w:val="18"/>
                <w:szCs w:val="18"/>
              </w:rPr>
            </w:pPr>
          </w:p>
        </w:tc>
        <w:tc>
          <w:tcPr>
            <w:tcW w:w="586" w:type="dxa"/>
            <w:vMerge w:val="restart"/>
            <w:vAlign w:val="center"/>
          </w:tcPr>
          <w:p>
            <w:pPr>
              <w:spacing w:line="220" w:lineRule="atLeast"/>
              <w:jc w:val="center"/>
              <w:rPr>
                <w:rFonts w:ascii="宋体"/>
                <w:sz w:val="18"/>
                <w:szCs w:val="18"/>
              </w:rPr>
            </w:pPr>
            <w:r>
              <w:rPr>
                <w:rFonts w:hint="eastAsia" w:ascii="宋体" w:hAnsi="宋体" w:cs="宋体"/>
                <w:sz w:val="18"/>
                <w:szCs w:val="18"/>
              </w:rPr>
              <w:t>自然人</w:t>
            </w:r>
          </w:p>
        </w:tc>
        <w:tc>
          <w:tcPr>
            <w:tcW w:w="3082" w:type="dxa"/>
            <w:gridSpan w:val="5"/>
            <w:vAlign w:val="center"/>
          </w:tcPr>
          <w:p>
            <w:pPr>
              <w:spacing w:line="220" w:lineRule="atLeast"/>
              <w:jc w:val="center"/>
              <w:rPr>
                <w:rFonts w:ascii="宋体"/>
                <w:sz w:val="18"/>
                <w:szCs w:val="18"/>
              </w:rPr>
            </w:pPr>
            <w:r>
              <w:rPr>
                <w:rFonts w:hint="eastAsia" w:ascii="宋体" w:hAnsi="宋体" w:cs="宋体"/>
                <w:sz w:val="18"/>
                <w:szCs w:val="18"/>
              </w:rPr>
              <w:t>法人或其他组织</w:t>
            </w:r>
          </w:p>
        </w:tc>
        <w:tc>
          <w:tcPr>
            <w:tcW w:w="586" w:type="dxa"/>
            <w:vMerge w:val="restart"/>
            <w:vAlign w:val="center"/>
          </w:tcPr>
          <w:p>
            <w:pPr>
              <w:spacing w:line="220" w:lineRule="atLeast"/>
              <w:jc w:val="center"/>
              <w:rPr>
                <w:rFonts w:ascii="宋体"/>
                <w:sz w:val="18"/>
                <w:szCs w:val="18"/>
              </w:rPr>
            </w:pPr>
            <w:r>
              <w:rPr>
                <w:rFonts w:hint="eastAsia" w:ascii="宋体" w:hAnsi="宋体" w:cs="宋体"/>
                <w:sz w:val="18"/>
                <w:szCs w:val="18"/>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5" w:type="dxa"/>
            <w:gridSpan w:val="3"/>
            <w:vMerge w:val="continue"/>
            <w:vAlign w:val="center"/>
          </w:tcPr>
          <w:p>
            <w:pPr>
              <w:spacing w:line="220" w:lineRule="atLeast"/>
              <w:jc w:val="center"/>
              <w:rPr>
                <w:rFonts w:ascii="宋体"/>
                <w:sz w:val="18"/>
                <w:szCs w:val="18"/>
              </w:rPr>
            </w:pPr>
          </w:p>
        </w:tc>
        <w:tc>
          <w:tcPr>
            <w:tcW w:w="586" w:type="dxa"/>
            <w:vMerge w:val="continue"/>
            <w:vAlign w:val="center"/>
          </w:tcPr>
          <w:p>
            <w:pPr>
              <w:spacing w:line="220" w:lineRule="atLeast"/>
              <w:jc w:val="center"/>
              <w:rPr>
                <w:rFonts w:ascii="宋体"/>
                <w:sz w:val="18"/>
                <w:szCs w:val="18"/>
              </w:rPr>
            </w:pPr>
          </w:p>
        </w:tc>
        <w:tc>
          <w:tcPr>
            <w:tcW w:w="641" w:type="dxa"/>
            <w:vAlign w:val="center"/>
          </w:tcPr>
          <w:p>
            <w:pPr>
              <w:spacing w:line="220" w:lineRule="atLeast"/>
              <w:jc w:val="center"/>
              <w:rPr>
                <w:rFonts w:ascii="宋体"/>
                <w:sz w:val="18"/>
                <w:szCs w:val="18"/>
              </w:rPr>
            </w:pPr>
            <w:r>
              <w:rPr>
                <w:rFonts w:hint="eastAsia" w:ascii="宋体" w:hAnsi="宋体" w:cs="宋体"/>
                <w:sz w:val="18"/>
                <w:szCs w:val="18"/>
              </w:rPr>
              <w:t>商业企业</w:t>
            </w:r>
          </w:p>
        </w:tc>
        <w:tc>
          <w:tcPr>
            <w:tcW w:w="600" w:type="dxa"/>
            <w:vAlign w:val="center"/>
          </w:tcPr>
          <w:p>
            <w:pPr>
              <w:spacing w:line="220" w:lineRule="atLeast"/>
              <w:jc w:val="center"/>
              <w:rPr>
                <w:rFonts w:ascii="宋体"/>
                <w:sz w:val="18"/>
                <w:szCs w:val="18"/>
              </w:rPr>
            </w:pPr>
            <w:r>
              <w:rPr>
                <w:rFonts w:hint="eastAsia" w:ascii="宋体" w:hAnsi="宋体" w:cs="宋体"/>
                <w:sz w:val="18"/>
                <w:szCs w:val="18"/>
              </w:rPr>
              <w:t>科研机构</w:t>
            </w:r>
          </w:p>
        </w:tc>
        <w:tc>
          <w:tcPr>
            <w:tcW w:w="614" w:type="dxa"/>
            <w:vAlign w:val="center"/>
          </w:tcPr>
          <w:p>
            <w:pPr>
              <w:spacing w:line="220" w:lineRule="atLeast"/>
              <w:jc w:val="center"/>
              <w:rPr>
                <w:rFonts w:ascii="宋体"/>
                <w:sz w:val="18"/>
                <w:szCs w:val="18"/>
              </w:rPr>
            </w:pPr>
            <w:r>
              <w:rPr>
                <w:rFonts w:hint="eastAsia" w:ascii="宋体" w:hAnsi="宋体" w:cs="宋体"/>
                <w:sz w:val="18"/>
                <w:szCs w:val="18"/>
              </w:rPr>
              <w:t>社会公益组织</w:t>
            </w:r>
          </w:p>
        </w:tc>
        <w:tc>
          <w:tcPr>
            <w:tcW w:w="614" w:type="dxa"/>
            <w:vAlign w:val="center"/>
          </w:tcPr>
          <w:p>
            <w:pPr>
              <w:spacing w:line="220" w:lineRule="atLeast"/>
              <w:jc w:val="center"/>
              <w:rPr>
                <w:rFonts w:ascii="宋体"/>
                <w:sz w:val="18"/>
                <w:szCs w:val="18"/>
              </w:rPr>
            </w:pPr>
            <w:r>
              <w:rPr>
                <w:rFonts w:hint="eastAsia" w:ascii="宋体" w:hAnsi="宋体" w:cs="宋体"/>
                <w:sz w:val="18"/>
                <w:szCs w:val="18"/>
              </w:rPr>
              <w:t>法律服务机构</w:t>
            </w:r>
          </w:p>
        </w:tc>
        <w:tc>
          <w:tcPr>
            <w:tcW w:w="613" w:type="dxa"/>
            <w:vAlign w:val="center"/>
          </w:tcPr>
          <w:p>
            <w:pPr>
              <w:spacing w:line="220" w:lineRule="atLeast"/>
              <w:jc w:val="center"/>
              <w:rPr>
                <w:rFonts w:ascii="宋体"/>
                <w:sz w:val="18"/>
                <w:szCs w:val="18"/>
              </w:rPr>
            </w:pPr>
            <w:r>
              <w:rPr>
                <w:rFonts w:hint="eastAsia" w:ascii="宋体" w:hAnsi="宋体" w:cs="宋体"/>
                <w:sz w:val="18"/>
                <w:szCs w:val="18"/>
              </w:rPr>
              <w:t>其他</w:t>
            </w:r>
          </w:p>
        </w:tc>
        <w:tc>
          <w:tcPr>
            <w:tcW w:w="586" w:type="dxa"/>
            <w:vMerge w:val="continue"/>
            <w:vAlign w:val="center"/>
          </w:tcPr>
          <w:p>
            <w:pPr>
              <w:spacing w:line="220" w:lineRule="atLeast"/>
              <w:jc w:val="center"/>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105" w:type="dxa"/>
            <w:gridSpan w:val="3"/>
            <w:vAlign w:val="center"/>
          </w:tcPr>
          <w:p>
            <w:pPr>
              <w:spacing w:line="220" w:lineRule="atLeast"/>
              <w:rPr>
                <w:rFonts w:ascii="宋体"/>
                <w:sz w:val="18"/>
                <w:szCs w:val="18"/>
              </w:rPr>
            </w:pPr>
            <w:r>
              <w:rPr>
                <w:rFonts w:hint="eastAsia" w:ascii="宋体" w:hAnsi="宋体" w:cs="宋体"/>
                <w:sz w:val="18"/>
                <w:szCs w:val="18"/>
              </w:rPr>
              <w:t>一、本年新收政府信息公开申请数量</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105" w:type="dxa"/>
            <w:gridSpan w:val="3"/>
            <w:vAlign w:val="center"/>
          </w:tcPr>
          <w:p>
            <w:pPr>
              <w:spacing w:line="220" w:lineRule="atLeast"/>
              <w:rPr>
                <w:rFonts w:ascii="宋体"/>
                <w:sz w:val="18"/>
                <w:szCs w:val="18"/>
              </w:rPr>
            </w:pPr>
            <w:r>
              <w:rPr>
                <w:rFonts w:hint="eastAsia" w:ascii="宋体" w:hAnsi="宋体" w:cs="宋体"/>
                <w:sz w:val="18"/>
                <w:szCs w:val="18"/>
              </w:rPr>
              <w:t>二、上年结转政府信息公开申请数量</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restart"/>
            <w:vAlign w:val="center"/>
          </w:tcPr>
          <w:p>
            <w:pPr>
              <w:spacing w:line="220" w:lineRule="atLeast"/>
              <w:rPr>
                <w:rFonts w:ascii="宋体"/>
                <w:sz w:val="18"/>
                <w:szCs w:val="18"/>
              </w:rPr>
            </w:pPr>
            <w:r>
              <w:rPr>
                <w:rFonts w:hint="eastAsia" w:ascii="宋体" w:hAnsi="宋体" w:cs="宋体"/>
                <w:sz w:val="18"/>
                <w:szCs w:val="18"/>
              </w:rPr>
              <w:t>三、本年度办理结果</w:t>
            </w:r>
          </w:p>
        </w:tc>
        <w:tc>
          <w:tcPr>
            <w:tcW w:w="3579" w:type="dxa"/>
            <w:gridSpan w:val="2"/>
            <w:vAlign w:val="center"/>
          </w:tcPr>
          <w:p>
            <w:pPr>
              <w:spacing w:line="220" w:lineRule="atLeast"/>
              <w:rPr>
                <w:rFonts w:ascii="楷体_GB2312" w:hAnsi="楷体_GB2312" w:eastAsia="楷体_GB2312"/>
                <w:sz w:val="18"/>
                <w:szCs w:val="18"/>
              </w:rPr>
            </w:pPr>
            <w:r>
              <w:rPr>
                <w:rFonts w:hint="eastAsia" w:ascii="楷体_GB2312" w:hAnsi="楷体_GB2312" w:eastAsia="楷体_GB2312" w:cs="楷体_GB2312"/>
                <w:sz w:val="18"/>
                <w:szCs w:val="18"/>
              </w:rPr>
              <w:t>（一）予以公开</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526" w:type="dxa"/>
            <w:vMerge w:val="continue"/>
            <w:vAlign w:val="center"/>
          </w:tcPr>
          <w:p>
            <w:pPr>
              <w:spacing w:line="220" w:lineRule="atLeast"/>
              <w:rPr>
                <w:rFonts w:ascii="宋体"/>
                <w:sz w:val="18"/>
                <w:szCs w:val="18"/>
              </w:rPr>
            </w:pPr>
          </w:p>
        </w:tc>
        <w:tc>
          <w:tcPr>
            <w:tcW w:w="3579" w:type="dxa"/>
            <w:gridSpan w:val="2"/>
            <w:vAlign w:val="center"/>
          </w:tcPr>
          <w:p>
            <w:pPr>
              <w:spacing w:line="220" w:lineRule="atLeast"/>
              <w:rPr>
                <w:rFonts w:ascii="楷体_GB2312" w:hAnsi="楷体_GB2312" w:eastAsia="楷体_GB2312"/>
                <w:sz w:val="18"/>
                <w:szCs w:val="18"/>
              </w:rPr>
            </w:pPr>
            <w:r>
              <w:rPr>
                <w:rFonts w:hint="eastAsia" w:ascii="楷体_GB2312" w:hAnsi="楷体_GB2312" w:eastAsia="楷体_GB2312" w:cs="楷体_GB2312"/>
                <w:sz w:val="18"/>
                <w:szCs w:val="18"/>
              </w:rPr>
              <w:t>（二）部分公开（区分处理的，只计这一情形，不计其他情形）</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continue"/>
            <w:vAlign w:val="center"/>
          </w:tcPr>
          <w:p>
            <w:pPr>
              <w:spacing w:line="220" w:lineRule="atLeast"/>
              <w:rPr>
                <w:rFonts w:ascii="宋体"/>
                <w:sz w:val="18"/>
                <w:szCs w:val="18"/>
              </w:rPr>
            </w:pPr>
          </w:p>
        </w:tc>
        <w:tc>
          <w:tcPr>
            <w:tcW w:w="1125" w:type="dxa"/>
            <w:vMerge w:val="restart"/>
            <w:vAlign w:val="center"/>
          </w:tcPr>
          <w:p>
            <w:pPr>
              <w:spacing w:line="220" w:lineRule="atLeast"/>
              <w:rPr>
                <w:rFonts w:ascii="楷体_GB2312" w:hAnsi="楷体_GB2312" w:eastAsia="楷体_GB2312"/>
                <w:sz w:val="18"/>
                <w:szCs w:val="18"/>
              </w:rPr>
            </w:pPr>
            <w:r>
              <w:rPr>
                <w:rFonts w:hint="eastAsia" w:ascii="楷体_GB2312" w:hAnsi="楷体_GB2312" w:eastAsia="楷体_GB2312" w:cs="楷体_GB2312"/>
                <w:sz w:val="18"/>
                <w:szCs w:val="18"/>
              </w:rPr>
              <w:t>（三）不予公开</w:t>
            </w: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1</w:t>
            </w:r>
            <w:r>
              <w:rPr>
                <w:rFonts w:hint="eastAsia" w:ascii="楷体_GB2312" w:hAnsi="楷体_GB2312" w:eastAsia="楷体_GB2312" w:cs="楷体_GB2312"/>
                <w:sz w:val="18"/>
                <w:szCs w:val="18"/>
              </w:rPr>
              <w:t>．属于国家秘密</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2</w:t>
            </w:r>
            <w:r>
              <w:rPr>
                <w:rFonts w:hint="eastAsia" w:ascii="楷体_GB2312" w:hAnsi="楷体_GB2312" w:eastAsia="楷体_GB2312" w:cs="楷体_GB2312"/>
                <w:sz w:val="18"/>
                <w:szCs w:val="18"/>
              </w:rPr>
              <w:t>．其他法律行政法规禁止公开</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3</w:t>
            </w:r>
            <w:r>
              <w:rPr>
                <w:rFonts w:hint="eastAsia" w:ascii="楷体_GB2312" w:hAnsi="楷体_GB2312" w:eastAsia="楷体_GB2312" w:cs="楷体_GB2312"/>
                <w:sz w:val="18"/>
                <w:szCs w:val="18"/>
              </w:rPr>
              <w:t>．危及“三安全一稳定”</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4</w:t>
            </w:r>
            <w:r>
              <w:rPr>
                <w:rFonts w:hint="eastAsia" w:ascii="楷体_GB2312" w:hAnsi="楷体_GB2312" w:eastAsia="楷体_GB2312" w:cs="楷体_GB2312"/>
                <w:sz w:val="18"/>
                <w:szCs w:val="18"/>
              </w:rPr>
              <w:t>．保护第三方合法权益</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5</w:t>
            </w:r>
            <w:r>
              <w:rPr>
                <w:rFonts w:hint="eastAsia" w:ascii="楷体_GB2312" w:hAnsi="楷体_GB2312" w:eastAsia="楷体_GB2312" w:cs="楷体_GB2312"/>
                <w:sz w:val="18"/>
                <w:szCs w:val="18"/>
              </w:rPr>
              <w:t>．属于三类内部事务信息</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6</w:t>
            </w:r>
            <w:r>
              <w:rPr>
                <w:rFonts w:hint="eastAsia" w:ascii="楷体_GB2312" w:hAnsi="楷体_GB2312" w:eastAsia="楷体_GB2312" w:cs="楷体_GB2312"/>
                <w:sz w:val="18"/>
                <w:szCs w:val="18"/>
              </w:rPr>
              <w:t>．属于四类过程性信息</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7</w:t>
            </w:r>
            <w:r>
              <w:rPr>
                <w:rFonts w:hint="eastAsia" w:ascii="楷体_GB2312" w:hAnsi="楷体_GB2312" w:eastAsia="楷体_GB2312" w:cs="楷体_GB2312"/>
                <w:sz w:val="18"/>
                <w:szCs w:val="18"/>
              </w:rPr>
              <w:t>．属于行政执法案卷</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8</w:t>
            </w:r>
            <w:r>
              <w:rPr>
                <w:rFonts w:hint="eastAsia" w:ascii="楷体_GB2312" w:hAnsi="楷体_GB2312" w:eastAsia="楷体_GB2312" w:cs="楷体_GB2312"/>
                <w:sz w:val="18"/>
                <w:szCs w:val="18"/>
              </w:rPr>
              <w:t>．属于行政查询事项</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exact"/>
          <w:jc w:val="center"/>
        </w:trPr>
        <w:tc>
          <w:tcPr>
            <w:tcW w:w="526" w:type="dxa"/>
            <w:vMerge w:val="continue"/>
            <w:vAlign w:val="center"/>
          </w:tcPr>
          <w:p>
            <w:pPr>
              <w:spacing w:line="220" w:lineRule="atLeast"/>
              <w:rPr>
                <w:rFonts w:ascii="宋体"/>
                <w:sz w:val="18"/>
                <w:szCs w:val="18"/>
              </w:rPr>
            </w:pPr>
          </w:p>
        </w:tc>
        <w:tc>
          <w:tcPr>
            <w:tcW w:w="1125" w:type="dxa"/>
            <w:vMerge w:val="restart"/>
            <w:vAlign w:val="center"/>
          </w:tcPr>
          <w:p>
            <w:pPr>
              <w:spacing w:line="220" w:lineRule="atLeast"/>
              <w:rPr>
                <w:rFonts w:ascii="楷体_GB2312" w:hAnsi="楷体_GB2312" w:eastAsia="楷体_GB2312"/>
                <w:sz w:val="18"/>
                <w:szCs w:val="18"/>
              </w:rPr>
            </w:pPr>
            <w:r>
              <w:rPr>
                <w:rFonts w:hint="eastAsia" w:ascii="楷体_GB2312" w:hAnsi="楷体_GB2312" w:eastAsia="楷体_GB2312" w:cs="楷体_GB2312"/>
                <w:sz w:val="18"/>
                <w:szCs w:val="18"/>
              </w:rPr>
              <w:t>（四）无法提供</w:t>
            </w: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1</w:t>
            </w:r>
            <w:r>
              <w:rPr>
                <w:rFonts w:hint="eastAsia" w:ascii="楷体_GB2312" w:hAnsi="楷体_GB2312" w:eastAsia="楷体_GB2312" w:cs="楷体_GB2312"/>
                <w:sz w:val="18"/>
                <w:szCs w:val="18"/>
              </w:rPr>
              <w:t>．本机关不掌握相关政府信息</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2</w:t>
            </w:r>
            <w:r>
              <w:rPr>
                <w:rFonts w:hint="eastAsia" w:ascii="楷体_GB2312" w:hAnsi="楷体_GB2312" w:eastAsia="楷体_GB2312" w:cs="楷体_GB2312"/>
                <w:sz w:val="18"/>
                <w:szCs w:val="18"/>
              </w:rPr>
              <w:t>．没有现成信息需要另行制作</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3</w:t>
            </w:r>
            <w:r>
              <w:rPr>
                <w:rFonts w:hint="eastAsia" w:ascii="楷体_GB2312" w:hAnsi="楷体_GB2312" w:eastAsia="楷体_GB2312" w:cs="楷体_GB2312"/>
                <w:sz w:val="18"/>
                <w:szCs w:val="18"/>
              </w:rPr>
              <w:t>．补正后申请内容仍不明确</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continue"/>
            <w:vAlign w:val="center"/>
          </w:tcPr>
          <w:p>
            <w:pPr>
              <w:spacing w:line="220" w:lineRule="atLeast"/>
              <w:rPr>
                <w:rFonts w:ascii="宋体"/>
                <w:sz w:val="18"/>
                <w:szCs w:val="18"/>
              </w:rPr>
            </w:pPr>
          </w:p>
        </w:tc>
        <w:tc>
          <w:tcPr>
            <w:tcW w:w="1125" w:type="dxa"/>
            <w:vMerge w:val="restart"/>
            <w:vAlign w:val="center"/>
          </w:tcPr>
          <w:p>
            <w:pPr>
              <w:spacing w:line="220" w:lineRule="atLeast"/>
              <w:rPr>
                <w:rFonts w:ascii="楷体_GB2312" w:hAnsi="楷体_GB2312" w:eastAsia="楷体_GB2312"/>
                <w:sz w:val="18"/>
                <w:szCs w:val="18"/>
              </w:rPr>
            </w:pPr>
            <w:r>
              <w:rPr>
                <w:rFonts w:hint="eastAsia" w:ascii="楷体_GB2312" w:hAnsi="楷体_GB2312" w:eastAsia="楷体_GB2312" w:cs="楷体_GB2312"/>
                <w:sz w:val="18"/>
                <w:szCs w:val="18"/>
              </w:rPr>
              <w:t>（五）不予处理</w:t>
            </w: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1</w:t>
            </w:r>
            <w:r>
              <w:rPr>
                <w:rFonts w:hint="eastAsia" w:ascii="楷体_GB2312" w:hAnsi="楷体_GB2312" w:eastAsia="楷体_GB2312" w:cs="楷体_GB2312"/>
                <w:sz w:val="18"/>
                <w:szCs w:val="18"/>
              </w:rPr>
              <w:t>．信访举报投诉类申请</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2</w:t>
            </w:r>
            <w:r>
              <w:rPr>
                <w:rFonts w:hint="eastAsia" w:ascii="楷体_GB2312" w:hAnsi="楷体_GB2312" w:eastAsia="楷体_GB2312" w:cs="楷体_GB2312"/>
                <w:sz w:val="18"/>
                <w:szCs w:val="18"/>
              </w:rPr>
              <w:t>．重复申请</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3</w:t>
            </w:r>
            <w:r>
              <w:rPr>
                <w:rFonts w:hint="eastAsia" w:ascii="楷体_GB2312" w:hAnsi="楷体_GB2312" w:eastAsia="楷体_GB2312" w:cs="楷体_GB2312"/>
                <w:sz w:val="18"/>
                <w:szCs w:val="18"/>
              </w:rPr>
              <w:t>．要求提供公开出版物</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4</w:t>
            </w:r>
            <w:r>
              <w:rPr>
                <w:rFonts w:hint="eastAsia" w:ascii="楷体_GB2312" w:hAnsi="楷体_GB2312" w:eastAsia="楷体_GB2312" w:cs="楷体_GB2312"/>
                <w:sz w:val="18"/>
                <w:szCs w:val="18"/>
              </w:rPr>
              <w:t>．无正当理由大量反复申请</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exact"/>
          <w:jc w:val="center"/>
        </w:trPr>
        <w:tc>
          <w:tcPr>
            <w:tcW w:w="526" w:type="dxa"/>
            <w:vMerge w:val="continue"/>
            <w:vAlign w:val="center"/>
          </w:tcPr>
          <w:p>
            <w:pPr>
              <w:spacing w:line="220" w:lineRule="atLeast"/>
              <w:rPr>
                <w:rFonts w:ascii="宋体"/>
                <w:sz w:val="18"/>
                <w:szCs w:val="18"/>
              </w:rPr>
            </w:pPr>
          </w:p>
        </w:tc>
        <w:tc>
          <w:tcPr>
            <w:tcW w:w="1125" w:type="dxa"/>
            <w:vMerge w:val="continue"/>
            <w:vAlign w:val="center"/>
          </w:tcPr>
          <w:p>
            <w:pPr>
              <w:spacing w:line="220" w:lineRule="atLeast"/>
              <w:rPr>
                <w:rFonts w:ascii="楷体_GB2312" w:hAnsi="楷体_GB2312" w:eastAsia="楷体_GB2312"/>
                <w:sz w:val="18"/>
                <w:szCs w:val="18"/>
              </w:rPr>
            </w:pPr>
          </w:p>
        </w:tc>
        <w:tc>
          <w:tcPr>
            <w:tcW w:w="2454" w:type="dxa"/>
            <w:vAlign w:val="center"/>
          </w:tcPr>
          <w:p>
            <w:pPr>
              <w:spacing w:line="220" w:lineRule="atLeast"/>
              <w:rPr>
                <w:rFonts w:ascii="楷体_GB2312" w:hAnsi="楷体_GB2312" w:eastAsia="楷体_GB2312"/>
                <w:sz w:val="18"/>
                <w:szCs w:val="18"/>
              </w:rPr>
            </w:pPr>
            <w:r>
              <w:rPr>
                <w:rFonts w:ascii="楷体_GB2312" w:hAnsi="楷体_GB2312" w:eastAsia="楷体_GB2312" w:cs="楷体_GB2312"/>
                <w:sz w:val="18"/>
                <w:szCs w:val="18"/>
              </w:rPr>
              <w:t>5</w:t>
            </w:r>
            <w:r>
              <w:rPr>
                <w:rFonts w:hint="eastAsia" w:ascii="楷体_GB2312" w:hAnsi="楷体_GB2312" w:eastAsia="楷体_GB2312" w:cs="楷体_GB2312"/>
                <w:sz w:val="18"/>
                <w:szCs w:val="18"/>
              </w:rPr>
              <w:t>．要求行政机关确认或重新出具已获取信息</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Merge w:val="continue"/>
            <w:vAlign w:val="center"/>
          </w:tcPr>
          <w:p>
            <w:pPr>
              <w:spacing w:line="220" w:lineRule="atLeast"/>
              <w:rPr>
                <w:rFonts w:ascii="宋体"/>
                <w:sz w:val="18"/>
                <w:szCs w:val="18"/>
              </w:rPr>
            </w:pPr>
          </w:p>
        </w:tc>
        <w:tc>
          <w:tcPr>
            <w:tcW w:w="3579" w:type="dxa"/>
            <w:gridSpan w:val="2"/>
            <w:vAlign w:val="center"/>
          </w:tcPr>
          <w:p>
            <w:pPr>
              <w:spacing w:line="220" w:lineRule="atLeast"/>
              <w:rPr>
                <w:rFonts w:ascii="宋体"/>
                <w:sz w:val="18"/>
                <w:szCs w:val="18"/>
              </w:rPr>
            </w:pPr>
            <w:r>
              <w:rPr>
                <w:rFonts w:hint="eastAsia" w:ascii="宋体" w:hAnsi="宋体" w:cs="宋体"/>
                <w:sz w:val="18"/>
                <w:szCs w:val="18"/>
              </w:rPr>
              <w:t>（六）其他处理</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6" w:type="dxa"/>
            <w:vAlign w:val="center"/>
          </w:tcPr>
          <w:p>
            <w:pPr>
              <w:spacing w:line="220" w:lineRule="atLeast"/>
              <w:rPr>
                <w:rFonts w:ascii="宋体"/>
                <w:sz w:val="18"/>
                <w:szCs w:val="18"/>
              </w:rPr>
            </w:pPr>
          </w:p>
        </w:tc>
        <w:tc>
          <w:tcPr>
            <w:tcW w:w="3579" w:type="dxa"/>
            <w:gridSpan w:val="2"/>
            <w:vAlign w:val="center"/>
          </w:tcPr>
          <w:p>
            <w:pPr>
              <w:spacing w:line="220" w:lineRule="atLeast"/>
              <w:rPr>
                <w:rFonts w:ascii="宋体"/>
                <w:sz w:val="18"/>
                <w:szCs w:val="18"/>
              </w:rPr>
            </w:pPr>
            <w:r>
              <w:rPr>
                <w:rFonts w:hint="eastAsia" w:ascii="宋体" w:hAnsi="宋体" w:cs="宋体"/>
                <w:sz w:val="18"/>
                <w:szCs w:val="18"/>
              </w:rPr>
              <w:t>（七）总计</w:t>
            </w:r>
          </w:p>
        </w:tc>
        <w:tc>
          <w:tcPr>
            <w:tcW w:w="586" w:type="dxa"/>
            <w:vAlign w:val="center"/>
          </w:tcPr>
          <w:p>
            <w:pPr>
              <w:spacing w:line="220" w:lineRule="atLeast"/>
              <w:jc w:val="center"/>
              <w:rPr>
                <w:rFonts w:hint="eastAsia" w:ascii="宋体" w:eastAsia="宋体"/>
                <w:sz w:val="18"/>
                <w:szCs w:val="18"/>
                <w:lang w:eastAsia="zh-CN"/>
              </w:rPr>
            </w:pPr>
            <w:r>
              <w:rPr>
                <w:rFonts w:hint="eastAsia" w:ascii="宋体" w:hAnsi="宋体" w:cs="宋体"/>
                <w:sz w:val="18"/>
                <w:szCs w:val="18"/>
                <w:lang w:val="en-US" w:eastAsia="zh-CN"/>
              </w:rPr>
              <w:t>0</w:t>
            </w:r>
          </w:p>
        </w:tc>
        <w:tc>
          <w:tcPr>
            <w:tcW w:w="641" w:type="dxa"/>
            <w:vAlign w:val="center"/>
          </w:tcPr>
          <w:p>
            <w:pPr>
              <w:spacing w:line="220" w:lineRule="atLeast"/>
              <w:jc w:val="center"/>
              <w:rPr>
                <w:rFonts w:ascii="宋体"/>
                <w:sz w:val="18"/>
                <w:szCs w:val="18"/>
              </w:rPr>
            </w:pPr>
            <w:r>
              <w:rPr>
                <w:rFonts w:ascii="宋体" w:cs="宋体"/>
                <w:sz w:val="18"/>
                <w:szCs w:val="18"/>
              </w:rPr>
              <w:t>0</w:t>
            </w:r>
          </w:p>
        </w:tc>
        <w:tc>
          <w:tcPr>
            <w:tcW w:w="600" w:type="dxa"/>
            <w:vAlign w:val="center"/>
          </w:tcPr>
          <w:p>
            <w:pPr>
              <w:spacing w:line="220" w:lineRule="atLeast"/>
              <w:jc w:val="center"/>
              <w:rPr>
                <w:rFonts w:ascii="宋体"/>
                <w:sz w:val="18"/>
                <w:szCs w:val="18"/>
              </w:rPr>
            </w:pPr>
            <w:r>
              <w:rPr>
                <w:rFonts w:ascii="宋体" w:cs="宋体"/>
                <w:sz w:val="18"/>
                <w:szCs w:val="18"/>
              </w:rPr>
              <w:t>0</w:t>
            </w:r>
          </w:p>
        </w:tc>
        <w:tc>
          <w:tcPr>
            <w:tcW w:w="614" w:type="dxa"/>
            <w:vAlign w:val="center"/>
          </w:tcPr>
          <w:p>
            <w:pPr>
              <w:spacing w:line="220" w:lineRule="atLeast"/>
              <w:jc w:val="center"/>
              <w:rPr>
                <w:rFonts w:ascii="宋体"/>
                <w:sz w:val="18"/>
                <w:szCs w:val="18"/>
              </w:rPr>
            </w:pPr>
            <w:r>
              <w:rPr>
                <w:rFonts w:ascii="宋体" w:cs="宋体"/>
                <w:sz w:val="18"/>
                <w:szCs w:val="18"/>
              </w:rPr>
              <w:t>0</w:t>
            </w:r>
          </w:p>
        </w:tc>
        <w:tc>
          <w:tcPr>
            <w:tcW w:w="614" w:type="dxa"/>
            <w:vAlign w:val="center"/>
          </w:tcPr>
          <w:p>
            <w:pPr>
              <w:spacing w:line="220" w:lineRule="atLeast"/>
              <w:jc w:val="center"/>
              <w:rPr>
                <w:rFonts w:ascii="宋体"/>
                <w:sz w:val="18"/>
                <w:szCs w:val="18"/>
              </w:rPr>
            </w:pPr>
            <w:r>
              <w:rPr>
                <w:rFonts w:ascii="宋体" w:cs="宋体"/>
                <w:sz w:val="18"/>
                <w:szCs w:val="18"/>
              </w:rPr>
              <w:t>0</w:t>
            </w:r>
          </w:p>
        </w:tc>
        <w:tc>
          <w:tcPr>
            <w:tcW w:w="613" w:type="dxa"/>
            <w:vAlign w:val="center"/>
          </w:tcPr>
          <w:p>
            <w:pPr>
              <w:spacing w:line="220" w:lineRule="atLeast"/>
              <w:jc w:val="center"/>
              <w:rPr>
                <w:rFonts w:ascii="宋体"/>
                <w:sz w:val="18"/>
                <w:szCs w:val="18"/>
              </w:rPr>
            </w:pPr>
            <w:r>
              <w:rPr>
                <w:rFonts w:ascii="宋体" w:cs="宋体"/>
                <w:sz w:val="18"/>
                <w:szCs w:val="18"/>
              </w:rPr>
              <w:t>0</w:t>
            </w:r>
          </w:p>
        </w:tc>
        <w:tc>
          <w:tcPr>
            <w:tcW w:w="586" w:type="dxa"/>
            <w:vAlign w:val="center"/>
          </w:tcPr>
          <w:p>
            <w:pPr>
              <w:spacing w:line="220" w:lineRule="atLeast"/>
              <w:jc w:val="center"/>
              <w:rPr>
                <w:rFonts w:ascii="宋体"/>
                <w:sz w:val="18"/>
                <w:szCs w:val="18"/>
              </w:rPr>
            </w:pPr>
            <w:r>
              <w:rPr>
                <w:rFonts w:asci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exact"/>
          <w:jc w:val="center"/>
        </w:trPr>
        <w:tc>
          <w:tcPr>
            <w:tcW w:w="4105" w:type="dxa"/>
            <w:gridSpan w:val="3"/>
            <w:vAlign w:val="center"/>
          </w:tcPr>
          <w:p>
            <w:pPr>
              <w:spacing w:line="220" w:lineRule="atLeast"/>
              <w:rPr>
                <w:rFonts w:ascii="宋体"/>
                <w:sz w:val="18"/>
                <w:szCs w:val="18"/>
              </w:rPr>
            </w:pPr>
            <w:r>
              <w:rPr>
                <w:rFonts w:hint="eastAsia" w:ascii="宋体" w:hAnsi="宋体" w:cs="宋体"/>
                <w:sz w:val="18"/>
                <w:szCs w:val="18"/>
              </w:rPr>
              <w:t>四、结转下年度继续办理</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c>
          <w:tcPr>
            <w:tcW w:w="641" w:type="dxa"/>
            <w:vAlign w:val="center"/>
          </w:tcPr>
          <w:p>
            <w:pPr>
              <w:spacing w:line="220" w:lineRule="atLeast"/>
              <w:jc w:val="center"/>
              <w:rPr>
                <w:rFonts w:ascii="宋体" w:cs="宋体"/>
                <w:sz w:val="18"/>
                <w:szCs w:val="18"/>
              </w:rPr>
            </w:pPr>
            <w:r>
              <w:rPr>
                <w:rFonts w:ascii="宋体" w:cs="宋体"/>
                <w:sz w:val="18"/>
                <w:szCs w:val="18"/>
              </w:rPr>
              <w:t>0</w:t>
            </w:r>
          </w:p>
        </w:tc>
        <w:tc>
          <w:tcPr>
            <w:tcW w:w="600"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4" w:type="dxa"/>
            <w:vAlign w:val="center"/>
          </w:tcPr>
          <w:p>
            <w:pPr>
              <w:spacing w:line="220" w:lineRule="atLeast"/>
              <w:jc w:val="center"/>
              <w:rPr>
                <w:rFonts w:ascii="宋体" w:cs="宋体"/>
                <w:sz w:val="18"/>
                <w:szCs w:val="18"/>
              </w:rPr>
            </w:pPr>
            <w:r>
              <w:rPr>
                <w:rFonts w:ascii="宋体" w:cs="宋体"/>
                <w:sz w:val="18"/>
                <w:szCs w:val="18"/>
              </w:rPr>
              <w:t>0</w:t>
            </w:r>
          </w:p>
        </w:tc>
        <w:tc>
          <w:tcPr>
            <w:tcW w:w="613" w:type="dxa"/>
            <w:vAlign w:val="center"/>
          </w:tcPr>
          <w:p>
            <w:pPr>
              <w:spacing w:line="220" w:lineRule="atLeast"/>
              <w:jc w:val="center"/>
              <w:rPr>
                <w:rFonts w:ascii="宋体" w:cs="宋体"/>
                <w:sz w:val="18"/>
                <w:szCs w:val="18"/>
              </w:rPr>
            </w:pPr>
            <w:r>
              <w:rPr>
                <w:rFonts w:ascii="宋体" w:cs="宋体"/>
                <w:sz w:val="18"/>
                <w:szCs w:val="18"/>
              </w:rPr>
              <w:t>0</w:t>
            </w:r>
          </w:p>
        </w:tc>
        <w:tc>
          <w:tcPr>
            <w:tcW w:w="586" w:type="dxa"/>
            <w:vAlign w:val="center"/>
          </w:tcPr>
          <w:p>
            <w:pPr>
              <w:spacing w:line="220" w:lineRule="atLeast"/>
              <w:jc w:val="center"/>
              <w:rPr>
                <w:rFonts w:ascii="宋体" w:cs="宋体"/>
                <w:sz w:val="18"/>
                <w:szCs w:val="18"/>
              </w:rPr>
            </w:pPr>
            <w:r>
              <w:rPr>
                <w:rFonts w:ascii="宋体" w:cs="宋体"/>
                <w:sz w:val="18"/>
                <w:szCs w:val="18"/>
              </w:rPr>
              <w:t>0</w:t>
            </w:r>
          </w:p>
        </w:tc>
      </w:tr>
    </w:tbl>
    <w:p>
      <w:pPr>
        <w:spacing w:line="560" w:lineRule="exact"/>
        <w:rPr>
          <w:rFonts w:ascii="黑体" w:hAnsi="黑体" w:eastAsia="黑体"/>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cs="黑体"/>
          <w:sz w:val="32"/>
          <w:szCs w:val="32"/>
          <w:lang w:val="en-US" w:eastAsia="zh-CN"/>
        </w:rPr>
        <w:t>四、政府信息公开行政复议、行政诉讼情况</w:t>
      </w:r>
    </w:p>
    <w:tbl>
      <w:tblPr>
        <w:tblStyle w:val="6"/>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584"/>
        <w:gridCol w:w="600"/>
        <w:gridCol w:w="633"/>
        <w:gridCol w:w="583"/>
        <w:gridCol w:w="584"/>
        <w:gridCol w:w="616"/>
        <w:gridCol w:w="584"/>
        <w:gridCol w:w="600"/>
        <w:gridCol w:w="516"/>
        <w:gridCol w:w="584"/>
        <w:gridCol w:w="650"/>
        <w:gridCol w:w="633"/>
        <w:gridCol w:w="633"/>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23" w:type="dxa"/>
            <w:gridSpan w:val="5"/>
          </w:tcPr>
          <w:p>
            <w:pPr>
              <w:spacing w:line="560" w:lineRule="exact"/>
              <w:jc w:val="center"/>
              <w:rPr>
                <w:rFonts w:ascii="仿宋_GB2312" w:hAnsi="仿宋_GB2312" w:eastAsia="仿宋_GB2312"/>
                <w:sz w:val="18"/>
                <w:szCs w:val="18"/>
              </w:rPr>
            </w:pPr>
            <w:r>
              <w:rPr>
                <w:rFonts w:hint="eastAsia" w:ascii="仿宋_GB2312" w:hAnsi="仿宋_GB2312" w:eastAsia="仿宋_GB2312" w:cs="仿宋_GB2312"/>
                <w:sz w:val="18"/>
                <w:szCs w:val="18"/>
              </w:rPr>
              <w:t>行政复议</w:t>
            </w:r>
          </w:p>
        </w:tc>
        <w:tc>
          <w:tcPr>
            <w:tcW w:w="5936" w:type="dxa"/>
            <w:gridSpan w:val="10"/>
          </w:tcPr>
          <w:p>
            <w:pPr>
              <w:spacing w:line="560" w:lineRule="exact"/>
              <w:jc w:val="center"/>
              <w:rPr>
                <w:rFonts w:ascii="仿宋_GB2312" w:hAnsi="仿宋_GB2312" w:eastAsia="仿宋_GB2312"/>
                <w:sz w:val="18"/>
                <w:szCs w:val="18"/>
              </w:rPr>
            </w:pPr>
            <w:r>
              <w:rPr>
                <w:rFonts w:hint="eastAsia" w:ascii="仿宋_GB2312" w:hAnsi="仿宋_GB2312" w:eastAsia="仿宋_GB2312" w:cs="仿宋_GB2312"/>
                <w:sz w:val="18"/>
                <w:szCs w:val="18"/>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3" w:type="dxa"/>
            <w:vMerge w:val="restart"/>
          </w:tcPr>
          <w:p>
            <w:pPr>
              <w:jc w:val="center"/>
              <w:rPr>
                <w:rFonts w:ascii="仿宋_GB2312" w:hAnsi="仿宋_GB2312" w:eastAsia="仿宋_GB2312"/>
                <w:sz w:val="18"/>
                <w:szCs w:val="18"/>
              </w:rPr>
            </w:pPr>
            <w:r>
              <w:rPr>
                <w:rFonts w:hint="eastAsia" w:ascii="仿宋_GB2312" w:hAnsi="仿宋_GB2312" w:eastAsia="仿宋_GB2312" w:cs="仿宋_GB2312"/>
                <w:sz w:val="18"/>
                <w:szCs w:val="18"/>
              </w:rPr>
              <w:t>结果维持</w:t>
            </w:r>
          </w:p>
        </w:tc>
        <w:tc>
          <w:tcPr>
            <w:tcW w:w="584" w:type="dxa"/>
            <w:vMerge w:val="restart"/>
          </w:tcPr>
          <w:p>
            <w:pPr>
              <w:jc w:val="center"/>
              <w:rPr>
                <w:rFonts w:ascii="仿宋_GB2312" w:hAnsi="仿宋_GB2312" w:eastAsia="仿宋_GB2312"/>
                <w:sz w:val="18"/>
                <w:szCs w:val="18"/>
              </w:rPr>
            </w:pPr>
            <w:r>
              <w:rPr>
                <w:rFonts w:hint="eastAsia" w:ascii="仿宋_GB2312" w:hAnsi="仿宋_GB2312" w:eastAsia="仿宋_GB2312" w:cs="仿宋_GB2312"/>
                <w:sz w:val="18"/>
                <w:szCs w:val="18"/>
              </w:rPr>
              <w:t>结果纠正</w:t>
            </w:r>
          </w:p>
        </w:tc>
        <w:tc>
          <w:tcPr>
            <w:tcW w:w="600" w:type="dxa"/>
            <w:vMerge w:val="restart"/>
          </w:tcPr>
          <w:p>
            <w:pPr>
              <w:jc w:val="center"/>
              <w:rPr>
                <w:rFonts w:ascii="仿宋_GB2312" w:hAnsi="仿宋_GB2312" w:eastAsia="仿宋_GB2312"/>
                <w:sz w:val="18"/>
                <w:szCs w:val="18"/>
              </w:rPr>
            </w:pPr>
            <w:r>
              <w:rPr>
                <w:rFonts w:hint="eastAsia" w:ascii="仿宋_GB2312" w:hAnsi="仿宋_GB2312" w:eastAsia="仿宋_GB2312" w:cs="仿宋_GB2312"/>
                <w:sz w:val="18"/>
                <w:szCs w:val="18"/>
              </w:rPr>
              <w:t>其他结果</w:t>
            </w:r>
          </w:p>
        </w:tc>
        <w:tc>
          <w:tcPr>
            <w:tcW w:w="633" w:type="dxa"/>
            <w:vMerge w:val="restart"/>
          </w:tcPr>
          <w:p>
            <w:pPr>
              <w:jc w:val="center"/>
              <w:rPr>
                <w:rFonts w:ascii="仿宋_GB2312" w:hAnsi="仿宋_GB2312" w:eastAsia="仿宋_GB2312"/>
                <w:sz w:val="18"/>
                <w:szCs w:val="18"/>
              </w:rPr>
            </w:pPr>
            <w:r>
              <w:rPr>
                <w:rFonts w:hint="eastAsia" w:ascii="仿宋_GB2312" w:hAnsi="仿宋_GB2312" w:eastAsia="仿宋_GB2312" w:cs="仿宋_GB2312"/>
                <w:sz w:val="18"/>
                <w:szCs w:val="18"/>
              </w:rPr>
              <w:t>尚未审计</w:t>
            </w:r>
          </w:p>
        </w:tc>
        <w:tc>
          <w:tcPr>
            <w:tcW w:w="583" w:type="dxa"/>
            <w:vMerge w:val="restart"/>
          </w:tcPr>
          <w:p>
            <w:pPr>
              <w:jc w:val="center"/>
              <w:rPr>
                <w:rFonts w:ascii="仿宋_GB2312" w:hAnsi="仿宋_GB2312" w:eastAsia="仿宋_GB2312"/>
                <w:sz w:val="18"/>
                <w:szCs w:val="18"/>
              </w:rPr>
            </w:pPr>
            <w:r>
              <w:rPr>
                <w:rFonts w:hint="eastAsia" w:ascii="仿宋_GB2312" w:hAnsi="仿宋_GB2312" w:eastAsia="仿宋_GB2312" w:cs="仿宋_GB2312"/>
                <w:sz w:val="18"/>
                <w:szCs w:val="18"/>
              </w:rPr>
              <w:t>总结</w:t>
            </w:r>
          </w:p>
        </w:tc>
        <w:tc>
          <w:tcPr>
            <w:tcW w:w="2900" w:type="dxa"/>
            <w:gridSpan w:val="5"/>
          </w:tcPr>
          <w:p>
            <w:pPr>
              <w:spacing w:line="560" w:lineRule="exact"/>
              <w:jc w:val="center"/>
              <w:rPr>
                <w:rFonts w:ascii="仿宋_GB2312" w:hAnsi="仿宋_GB2312" w:eastAsia="仿宋_GB2312"/>
                <w:sz w:val="18"/>
                <w:szCs w:val="18"/>
              </w:rPr>
            </w:pPr>
            <w:r>
              <w:rPr>
                <w:rFonts w:hint="eastAsia" w:ascii="仿宋_GB2312" w:hAnsi="仿宋_GB2312" w:eastAsia="仿宋_GB2312" w:cs="仿宋_GB2312"/>
                <w:sz w:val="18"/>
                <w:szCs w:val="18"/>
              </w:rPr>
              <w:t>未经复议直接起诉</w:t>
            </w:r>
          </w:p>
        </w:tc>
        <w:tc>
          <w:tcPr>
            <w:tcW w:w="3036" w:type="dxa"/>
            <w:gridSpan w:val="5"/>
          </w:tcPr>
          <w:p>
            <w:pPr>
              <w:spacing w:line="560" w:lineRule="exact"/>
              <w:jc w:val="center"/>
              <w:rPr>
                <w:rFonts w:ascii="仿宋_GB2312" w:hAnsi="仿宋_GB2312" w:eastAsia="仿宋_GB2312"/>
                <w:sz w:val="18"/>
                <w:szCs w:val="18"/>
              </w:rPr>
            </w:pPr>
            <w:r>
              <w:rPr>
                <w:rFonts w:hint="eastAsia" w:ascii="仿宋_GB2312" w:hAnsi="仿宋_GB2312" w:eastAsia="仿宋_GB2312" w:cs="仿宋_GB2312"/>
                <w:sz w:val="18"/>
                <w:szCs w:val="18"/>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23" w:type="dxa"/>
            <w:vMerge w:val="continue"/>
          </w:tcPr>
          <w:p>
            <w:pPr>
              <w:spacing w:line="560" w:lineRule="exact"/>
              <w:jc w:val="center"/>
              <w:rPr>
                <w:rFonts w:ascii="仿宋_GB2312" w:hAnsi="仿宋_GB2312" w:eastAsia="仿宋_GB2312"/>
                <w:sz w:val="18"/>
                <w:szCs w:val="18"/>
              </w:rPr>
            </w:pPr>
          </w:p>
        </w:tc>
        <w:tc>
          <w:tcPr>
            <w:tcW w:w="584" w:type="dxa"/>
            <w:vMerge w:val="continue"/>
          </w:tcPr>
          <w:p>
            <w:pPr>
              <w:spacing w:line="560" w:lineRule="exact"/>
              <w:jc w:val="center"/>
              <w:rPr>
                <w:rFonts w:ascii="仿宋_GB2312" w:hAnsi="仿宋_GB2312" w:eastAsia="仿宋_GB2312"/>
                <w:sz w:val="18"/>
                <w:szCs w:val="18"/>
              </w:rPr>
            </w:pPr>
          </w:p>
        </w:tc>
        <w:tc>
          <w:tcPr>
            <w:tcW w:w="600" w:type="dxa"/>
            <w:vMerge w:val="continue"/>
          </w:tcPr>
          <w:p>
            <w:pPr>
              <w:spacing w:line="560" w:lineRule="exact"/>
              <w:jc w:val="center"/>
              <w:rPr>
                <w:rFonts w:ascii="仿宋_GB2312" w:hAnsi="仿宋_GB2312" w:eastAsia="仿宋_GB2312"/>
                <w:sz w:val="18"/>
                <w:szCs w:val="18"/>
              </w:rPr>
            </w:pPr>
          </w:p>
        </w:tc>
        <w:tc>
          <w:tcPr>
            <w:tcW w:w="633" w:type="dxa"/>
            <w:vMerge w:val="continue"/>
          </w:tcPr>
          <w:p>
            <w:pPr>
              <w:spacing w:line="560" w:lineRule="exact"/>
              <w:jc w:val="center"/>
              <w:rPr>
                <w:rFonts w:ascii="仿宋_GB2312" w:hAnsi="仿宋_GB2312" w:eastAsia="仿宋_GB2312"/>
                <w:sz w:val="18"/>
                <w:szCs w:val="18"/>
              </w:rPr>
            </w:pPr>
          </w:p>
        </w:tc>
        <w:tc>
          <w:tcPr>
            <w:tcW w:w="583" w:type="dxa"/>
            <w:vMerge w:val="continue"/>
          </w:tcPr>
          <w:p>
            <w:pPr>
              <w:spacing w:line="560" w:lineRule="exact"/>
              <w:jc w:val="center"/>
              <w:rPr>
                <w:rFonts w:ascii="仿宋_GB2312" w:hAnsi="仿宋_GB2312" w:eastAsia="仿宋_GB2312"/>
                <w:sz w:val="18"/>
                <w:szCs w:val="18"/>
              </w:rPr>
            </w:pPr>
          </w:p>
        </w:tc>
        <w:tc>
          <w:tcPr>
            <w:tcW w:w="584" w:type="dxa"/>
          </w:tcPr>
          <w:p>
            <w:pPr>
              <w:rPr>
                <w:rFonts w:ascii="仿宋_GB2312" w:hAnsi="仿宋_GB2312" w:eastAsia="仿宋_GB2312"/>
                <w:sz w:val="18"/>
                <w:szCs w:val="18"/>
              </w:rPr>
            </w:pPr>
            <w:r>
              <w:rPr>
                <w:rFonts w:hint="eastAsia" w:ascii="仿宋_GB2312" w:hAnsi="仿宋_GB2312" w:eastAsia="仿宋_GB2312" w:cs="仿宋_GB2312"/>
                <w:sz w:val="18"/>
                <w:szCs w:val="18"/>
              </w:rPr>
              <w:t>结果维持</w:t>
            </w:r>
          </w:p>
        </w:tc>
        <w:tc>
          <w:tcPr>
            <w:tcW w:w="616" w:type="dxa"/>
          </w:tcPr>
          <w:p>
            <w:pPr>
              <w:jc w:val="center"/>
              <w:rPr>
                <w:rFonts w:ascii="仿宋_GB2312" w:hAnsi="仿宋_GB2312" w:eastAsia="仿宋_GB2312"/>
                <w:sz w:val="18"/>
                <w:szCs w:val="18"/>
              </w:rPr>
            </w:pPr>
            <w:r>
              <w:rPr>
                <w:rFonts w:hint="eastAsia" w:ascii="仿宋_GB2312" w:hAnsi="仿宋_GB2312" w:eastAsia="仿宋_GB2312" w:cs="仿宋_GB2312"/>
                <w:sz w:val="18"/>
                <w:szCs w:val="18"/>
              </w:rPr>
              <w:t>结果纠正</w:t>
            </w:r>
          </w:p>
        </w:tc>
        <w:tc>
          <w:tcPr>
            <w:tcW w:w="584" w:type="dxa"/>
          </w:tcPr>
          <w:p>
            <w:pPr>
              <w:jc w:val="center"/>
              <w:rPr>
                <w:rFonts w:ascii="仿宋_GB2312" w:hAnsi="仿宋_GB2312" w:eastAsia="仿宋_GB2312"/>
                <w:sz w:val="18"/>
                <w:szCs w:val="18"/>
              </w:rPr>
            </w:pPr>
            <w:r>
              <w:rPr>
                <w:rFonts w:hint="eastAsia" w:ascii="仿宋_GB2312" w:hAnsi="仿宋_GB2312" w:eastAsia="仿宋_GB2312" w:cs="仿宋_GB2312"/>
                <w:sz w:val="18"/>
                <w:szCs w:val="18"/>
              </w:rPr>
              <w:t>其他结果</w:t>
            </w:r>
          </w:p>
        </w:tc>
        <w:tc>
          <w:tcPr>
            <w:tcW w:w="600" w:type="dxa"/>
          </w:tcPr>
          <w:p>
            <w:pPr>
              <w:jc w:val="center"/>
              <w:rPr>
                <w:rFonts w:ascii="仿宋_GB2312" w:hAnsi="仿宋_GB2312" w:eastAsia="仿宋_GB2312"/>
                <w:sz w:val="18"/>
                <w:szCs w:val="18"/>
              </w:rPr>
            </w:pPr>
            <w:r>
              <w:rPr>
                <w:rFonts w:hint="eastAsia" w:ascii="仿宋_GB2312" w:hAnsi="仿宋_GB2312" w:eastAsia="仿宋_GB2312" w:cs="仿宋_GB2312"/>
                <w:sz w:val="18"/>
                <w:szCs w:val="18"/>
              </w:rPr>
              <w:t>尚未审计</w:t>
            </w:r>
          </w:p>
        </w:tc>
        <w:tc>
          <w:tcPr>
            <w:tcW w:w="516" w:type="dxa"/>
          </w:tcPr>
          <w:p>
            <w:pPr>
              <w:jc w:val="center"/>
              <w:rPr>
                <w:rFonts w:ascii="仿宋_GB2312" w:hAnsi="仿宋_GB2312" w:eastAsia="仿宋_GB2312"/>
                <w:sz w:val="18"/>
                <w:szCs w:val="18"/>
              </w:rPr>
            </w:pPr>
            <w:r>
              <w:rPr>
                <w:rFonts w:hint="eastAsia" w:ascii="仿宋_GB2312" w:hAnsi="仿宋_GB2312" w:eastAsia="仿宋_GB2312" w:cs="仿宋_GB2312"/>
                <w:sz w:val="18"/>
                <w:szCs w:val="18"/>
              </w:rPr>
              <w:t>总结</w:t>
            </w:r>
          </w:p>
        </w:tc>
        <w:tc>
          <w:tcPr>
            <w:tcW w:w="584" w:type="dxa"/>
          </w:tcPr>
          <w:p>
            <w:pPr>
              <w:jc w:val="center"/>
              <w:rPr>
                <w:rFonts w:ascii="仿宋_GB2312" w:hAnsi="仿宋_GB2312" w:eastAsia="仿宋_GB2312"/>
                <w:sz w:val="18"/>
                <w:szCs w:val="18"/>
              </w:rPr>
            </w:pPr>
            <w:r>
              <w:rPr>
                <w:rFonts w:hint="eastAsia" w:ascii="仿宋_GB2312" w:hAnsi="仿宋_GB2312" w:eastAsia="仿宋_GB2312" w:cs="仿宋_GB2312"/>
                <w:sz w:val="18"/>
                <w:szCs w:val="18"/>
              </w:rPr>
              <w:t>结果维持</w:t>
            </w:r>
          </w:p>
        </w:tc>
        <w:tc>
          <w:tcPr>
            <w:tcW w:w="650" w:type="dxa"/>
          </w:tcPr>
          <w:p>
            <w:pPr>
              <w:jc w:val="center"/>
              <w:rPr>
                <w:rFonts w:ascii="仿宋_GB2312" w:hAnsi="仿宋_GB2312" w:eastAsia="仿宋_GB2312"/>
                <w:sz w:val="18"/>
                <w:szCs w:val="18"/>
              </w:rPr>
            </w:pPr>
            <w:r>
              <w:rPr>
                <w:rFonts w:hint="eastAsia" w:ascii="仿宋_GB2312" w:hAnsi="仿宋_GB2312" w:eastAsia="仿宋_GB2312" w:cs="仿宋_GB2312"/>
                <w:sz w:val="18"/>
                <w:szCs w:val="18"/>
              </w:rPr>
              <w:t>结果纠正</w:t>
            </w:r>
          </w:p>
        </w:tc>
        <w:tc>
          <w:tcPr>
            <w:tcW w:w="633" w:type="dxa"/>
          </w:tcPr>
          <w:p>
            <w:pPr>
              <w:jc w:val="distribute"/>
              <w:rPr>
                <w:rFonts w:ascii="仿宋_GB2312" w:hAnsi="仿宋_GB2312" w:eastAsia="仿宋_GB2312"/>
                <w:sz w:val="18"/>
                <w:szCs w:val="18"/>
              </w:rPr>
            </w:pPr>
            <w:r>
              <w:rPr>
                <w:rFonts w:hint="eastAsia" w:ascii="仿宋_GB2312" w:hAnsi="仿宋_GB2312" w:eastAsia="仿宋_GB2312" w:cs="仿宋_GB2312"/>
                <w:sz w:val="18"/>
                <w:szCs w:val="18"/>
              </w:rPr>
              <w:t>其他结果</w:t>
            </w:r>
          </w:p>
        </w:tc>
        <w:tc>
          <w:tcPr>
            <w:tcW w:w="633" w:type="dxa"/>
          </w:tcPr>
          <w:p>
            <w:pPr>
              <w:jc w:val="distribute"/>
              <w:rPr>
                <w:rFonts w:ascii="仿宋_GB2312" w:hAnsi="仿宋_GB2312" w:eastAsia="仿宋_GB2312"/>
                <w:sz w:val="18"/>
                <w:szCs w:val="18"/>
              </w:rPr>
            </w:pPr>
            <w:r>
              <w:rPr>
                <w:rFonts w:hint="eastAsia" w:ascii="仿宋_GB2312" w:hAnsi="仿宋_GB2312" w:eastAsia="仿宋_GB2312" w:cs="仿宋_GB2312"/>
                <w:sz w:val="18"/>
                <w:szCs w:val="18"/>
              </w:rPr>
              <w:t>尚未审计</w:t>
            </w:r>
          </w:p>
        </w:tc>
        <w:tc>
          <w:tcPr>
            <w:tcW w:w="536" w:type="dxa"/>
          </w:tcPr>
          <w:p>
            <w:pPr>
              <w:jc w:val="distribute"/>
              <w:rPr>
                <w:rFonts w:ascii="仿宋_GB2312" w:hAnsi="仿宋_GB2312" w:eastAsia="仿宋_GB2312"/>
                <w:sz w:val="18"/>
                <w:szCs w:val="18"/>
              </w:rPr>
            </w:pPr>
            <w:r>
              <w:rPr>
                <w:rFonts w:hint="eastAsia" w:ascii="仿宋_GB2312" w:hAnsi="仿宋_GB2312" w:eastAsia="仿宋_GB2312" w:cs="仿宋_GB2312"/>
                <w:sz w:val="18"/>
                <w:szCs w:val="18"/>
              </w:rPr>
              <w:t>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23"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584"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600"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633"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583"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584"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616"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584"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600"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516"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584"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650"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633"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633"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c>
          <w:tcPr>
            <w:tcW w:w="536" w:type="dxa"/>
            <w:vAlign w:val="center"/>
          </w:tcPr>
          <w:p>
            <w:pPr>
              <w:jc w:val="center"/>
              <w:rPr>
                <w:rFonts w:ascii="仿宋_GB2312" w:hAnsi="仿宋_GB2312" w:eastAsia="仿宋_GB2312" w:cs="仿宋_GB2312"/>
                <w:sz w:val="18"/>
                <w:szCs w:val="18"/>
              </w:rPr>
            </w:pPr>
            <w:r>
              <w:rPr>
                <w:rFonts w:ascii="仿宋_GB2312" w:hAnsi="仿宋_GB2312" w:eastAsia="仿宋_GB2312" w:cs="仿宋_GB2312"/>
                <w:sz w:val="18"/>
                <w:szCs w:val="18"/>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cs="黑体"/>
          <w:sz w:val="32"/>
          <w:szCs w:val="32"/>
          <w:lang w:val="en-US" w:eastAsia="zh-CN"/>
        </w:rPr>
        <w:t>五、</w:t>
      </w:r>
      <w:r>
        <w:rPr>
          <w:rFonts w:hint="eastAsia" w:ascii="黑体" w:hAnsi="黑体" w:eastAsia="黑体" w:cs="黑体"/>
          <w:sz w:val="32"/>
          <w:szCs w:val="32"/>
        </w:rPr>
        <w:t>政府信息公开工作存在的主要问题及改进情况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（一）2019年问题整改情况。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_GB2312" w:hAnsi="宋体" w:eastAsia="仿宋_GB2312" w:cs="仿宋_GB2312"/>
          <w:i w:val="0"/>
          <w:caps w:val="0"/>
          <w:color w:val="000000"/>
          <w:spacing w:val="0"/>
          <w:sz w:val="32"/>
          <w:szCs w:val="32"/>
          <w:shd w:val="clear" w:fill="FFFFFF"/>
        </w:rPr>
      </w:pPr>
      <w:r>
        <w:rPr>
          <w:rFonts w:hint="eastAsia" w:ascii="仿宋_GB2312" w:hAnsi="宋体" w:eastAsia="仿宋_GB2312" w:cs="仿宋_GB2312"/>
          <w:i w:val="0"/>
          <w:caps w:val="0"/>
          <w:color w:val="000000"/>
          <w:spacing w:val="0"/>
          <w:sz w:val="32"/>
          <w:szCs w:val="32"/>
          <w:shd w:val="clear" w:fill="FFFFFF"/>
          <w:lang w:val="en-US" w:eastAsia="zh-CN"/>
        </w:rPr>
        <w:t>一</w:t>
      </w:r>
      <w:r>
        <w:rPr>
          <w:rFonts w:ascii="仿宋_GB2312" w:hAnsi="宋体" w:eastAsia="仿宋_GB2312" w:cs="仿宋_GB2312"/>
          <w:i w:val="0"/>
          <w:caps w:val="0"/>
          <w:color w:val="000000"/>
          <w:spacing w:val="0"/>
          <w:sz w:val="32"/>
          <w:szCs w:val="32"/>
          <w:shd w:val="clear" w:fill="FFFFFF"/>
        </w:rPr>
        <w:t>是将政府信息公开工作纳入全局科室单位日常工作考核，调动各科室单位积极性。</w:t>
      </w:r>
      <w:r>
        <w:rPr>
          <w:rFonts w:hint="eastAsia" w:ascii="仿宋_GB2312" w:hAnsi="宋体" w:eastAsia="仿宋_GB2312" w:cs="仿宋_GB2312"/>
          <w:i w:val="0"/>
          <w:caps w:val="0"/>
          <w:color w:val="000000"/>
          <w:spacing w:val="0"/>
          <w:sz w:val="32"/>
          <w:szCs w:val="32"/>
          <w:shd w:val="clear" w:fill="FFFFFF"/>
          <w:lang w:val="en-US" w:eastAsia="zh-CN"/>
        </w:rPr>
        <w:t>二</w:t>
      </w:r>
      <w:r>
        <w:rPr>
          <w:rFonts w:ascii="仿宋_GB2312" w:hAnsi="宋体" w:eastAsia="仿宋_GB2312" w:cs="仿宋_GB2312"/>
          <w:i w:val="0"/>
          <w:caps w:val="0"/>
          <w:color w:val="000000"/>
          <w:spacing w:val="0"/>
          <w:sz w:val="32"/>
          <w:szCs w:val="32"/>
          <w:shd w:val="clear" w:fill="FFFFFF"/>
        </w:rPr>
        <w:t>是强化政府信息公开工作培训，对《政府信息公开条例》进行详细解读，进一步增强了市</w:t>
      </w:r>
      <w:r>
        <w:rPr>
          <w:rFonts w:hint="eastAsia" w:ascii="仿宋_GB2312" w:hAnsi="宋体" w:eastAsia="仿宋_GB2312" w:cs="仿宋_GB2312"/>
          <w:i w:val="0"/>
          <w:caps w:val="0"/>
          <w:color w:val="000000"/>
          <w:spacing w:val="0"/>
          <w:sz w:val="32"/>
          <w:szCs w:val="32"/>
          <w:shd w:val="clear" w:fill="FFFFFF"/>
          <w:lang w:val="en-US" w:eastAsia="zh-CN"/>
        </w:rPr>
        <w:t>审计</w:t>
      </w:r>
      <w:r>
        <w:rPr>
          <w:rFonts w:ascii="仿宋_GB2312" w:hAnsi="宋体" w:eastAsia="仿宋_GB2312" w:cs="仿宋_GB2312"/>
          <w:i w:val="0"/>
          <w:caps w:val="0"/>
          <w:color w:val="000000"/>
          <w:spacing w:val="0"/>
          <w:sz w:val="32"/>
          <w:szCs w:val="32"/>
          <w:shd w:val="clear" w:fill="FFFFFF"/>
        </w:rPr>
        <w:t>局工作人员政府信息公开意识，提高了依申请公开答复水平。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（二）2020年存在的主要问题。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仿宋_GB2312"/>
          <w:i w:val="0"/>
          <w:caps w:val="0"/>
          <w:color w:val="000000"/>
          <w:spacing w:val="0"/>
          <w:sz w:val="32"/>
          <w:szCs w:val="32"/>
          <w:shd w:val="clear" w:fill="FFFFFF"/>
        </w:rPr>
      </w:pPr>
      <w:r>
        <w:rPr>
          <w:rFonts w:ascii="仿宋_GB2312" w:hAnsi="宋体" w:eastAsia="仿宋_GB2312" w:cs="仿宋_GB2312"/>
          <w:i w:val="0"/>
          <w:caps w:val="0"/>
          <w:color w:val="000000"/>
          <w:spacing w:val="0"/>
          <w:sz w:val="32"/>
          <w:szCs w:val="32"/>
          <w:shd w:val="clear" w:fill="FFFFFF"/>
        </w:rPr>
        <w:t>一是对政府信息公开要求学习不够及时深入，局内部分工作人员对政务公开系统性、规范性认识不够深刻。二是公开工作机制不够扎实有效。制定的政府信息公开工作实施方案需要进一步细化落实，全局的政府信息公开工作体制需进一步完善，专业力量有待加强。三是政府信息公开主动性、规范性有待加强，工作标准不够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i w:val="0"/>
          <w:caps w:val="0"/>
          <w:color w:val="000000"/>
          <w:spacing w:val="0"/>
          <w:sz w:val="32"/>
          <w:szCs w:val="32"/>
          <w:shd w:val="clear" w:fill="FFFFFF"/>
          <w:lang w:val="en-US" w:eastAsia="zh-CN"/>
        </w:rPr>
      </w:pPr>
      <w:r>
        <w:rPr>
          <w:rFonts w:hint="eastAsia" w:ascii="楷体_GB2312" w:hAnsi="楷体_GB2312" w:eastAsia="楷体_GB2312" w:cs="楷体_GB2312"/>
          <w:i w:val="0"/>
          <w:caps w:val="0"/>
          <w:color w:val="000000"/>
          <w:spacing w:val="0"/>
          <w:sz w:val="32"/>
          <w:szCs w:val="32"/>
          <w:shd w:val="clear" w:fill="FFFFFF"/>
          <w:lang w:eastAsia="zh-CN"/>
        </w:rPr>
        <w:t>（</w:t>
      </w:r>
      <w:r>
        <w:rPr>
          <w:rFonts w:hint="eastAsia" w:ascii="楷体_GB2312" w:hAnsi="楷体_GB2312" w:eastAsia="楷体_GB2312" w:cs="楷体_GB2312"/>
          <w:i w:val="0"/>
          <w:caps w:val="0"/>
          <w:color w:val="000000"/>
          <w:spacing w:val="0"/>
          <w:sz w:val="32"/>
          <w:szCs w:val="32"/>
          <w:shd w:val="clear" w:fill="FFFFFF"/>
          <w:lang w:val="en-US" w:eastAsia="zh-CN"/>
        </w:rPr>
        <w:t>三</w:t>
      </w:r>
      <w:r>
        <w:rPr>
          <w:rFonts w:hint="eastAsia" w:ascii="楷体_GB2312" w:hAnsi="楷体_GB2312" w:eastAsia="楷体_GB2312" w:cs="楷体_GB2312"/>
          <w:i w:val="0"/>
          <w:caps w:val="0"/>
          <w:color w:val="000000"/>
          <w:spacing w:val="0"/>
          <w:sz w:val="32"/>
          <w:szCs w:val="32"/>
          <w:shd w:val="clear" w:fill="FFFFFF"/>
          <w:lang w:eastAsia="zh-CN"/>
        </w:rPr>
        <w:t>）</w:t>
      </w:r>
      <w:r>
        <w:rPr>
          <w:rFonts w:hint="eastAsia" w:ascii="楷体_GB2312" w:hAnsi="楷体_GB2312" w:eastAsia="楷体_GB2312" w:cs="楷体_GB2312"/>
          <w:i w:val="0"/>
          <w:caps w:val="0"/>
          <w:color w:val="000000"/>
          <w:spacing w:val="0"/>
          <w:sz w:val="32"/>
          <w:szCs w:val="32"/>
          <w:shd w:val="clear" w:fill="FFFFFF"/>
          <w:lang w:val="en-US" w:eastAsia="zh-CN"/>
        </w:rPr>
        <w:t>改进措施。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宋体" w:eastAsia="仿宋_GB2312" w:cs="仿宋_GB2312"/>
          <w:i w:val="0"/>
          <w:caps w:val="0"/>
          <w:color w:val="000000"/>
          <w:spacing w:val="0"/>
          <w:sz w:val="32"/>
          <w:szCs w:val="32"/>
          <w:shd w:val="clear" w:fill="FFFFFF"/>
          <w:lang w:val="en-US" w:eastAsia="zh-CN"/>
        </w:rPr>
        <w:t>下</w:t>
      </w:r>
      <w:r>
        <w:rPr>
          <w:rFonts w:ascii="仿宋_GB2312" w:hAnsi="宋体" w:eastAsia="仿宋_GB2312" w:cs="仿宋_GB2312"/>
          <w:i w:val="0"/>
          <w:caps w:val="0"/>
          <w:color w:val="000000"/>
          <w:spacing w:val="0"/>
          <w:sz w:val="32"/>
          <w:szCs w:val="32"/>
          <w:shd w:val="clear" w:fill="FFFFFF"/>
        </w:rPr>
        <w:t>一步，市</w:t>
      </w:r>
      <w:r>
        <w:rPr>
          <w:rFonts w:hint="eastAsia" w:ascii="仿宋_GB2312" w:hAnsi="宋体" w:eastAsia="仿宋_GB2312" w:cs="仿宋_GB2312"/>
          <w:i w:val="0"/>
          <w:caps w:val="0"/>
          <w:color w:val="000000"/>
          <w:spacing w:val="0"/>
          <w:sz w:val="32"/>
          <w:szCs w:val="32"/>
          <w:shd w:val="clear" w:fill="FFFFFF"/>
          <w:lang w:val="en-US" w:eastAsia="zh-CN"/>
        </w:rPr>
        <w:t>审计</w:t>
      </w:r>
      <w:r>
        <w:rPr>
          <w:rFonts w:ascii="仿宋_GB2312" w:hAnsi="宋体" w:eastAsia="仿宋_GB2312" w:cs="仿宋_GB2312"/>
          <w:i w:val="0"/>
          <w:caps w:val="0"/>
          <w:color w:val="000000"/>
          <w:spacing w:val="0"/>
          <w:sz w:val="32"/>
          <w:szCs w:val="32"/>
          <w:shd w:val="clear" w:fill="FFFFFF"/>
        </w:rPr>
        <w:t>局将继续积极贯彻落实上级有关政府信息公开的规定要求，进一步完善制度举措，积极做好政府信息与政务公开工作。一是进一步规范和完善政府信息和政务公开的内容、形式，不断提高公开的系统性、针对性、实效性。二是加强对政府信息与政务公开工作的指导和支持，适时开展政府信息公开培训，提高信息公开工作水平。三是加强政府信息公开的专业队伍能力建设，提高政府信息公开的主动性、规范性。</w:t>
      </w:r>
    </w:p>
    <w:p>
      <w:pPr>
        <w:spacing w:line="560" w:lineRule="exact"/>
        <w:ind w:firstLine="640" w:firstLineChars="200"/>
        <w:rPr>
          <w:rFonts w:ascii="黑体" w:hAnsi="黑体" w:eastAsia="黑体"/>
          <w:sz w:val="32"/>
          <w:szCs w:val="32"/>
        </w:rPr>
      </w:pPr>
      <w:r>
        <w:rPr>
          <w:rFonts w:hint="eastAsia" w:ascii="黑体" w:hAnsi="黑体" w:eastAsia="黑体" w:cs="黑体"/>
          <w:sz w:val="32"/>
          <w:szCs w:val="32"/>
        </w:rPr>
        <w:t>六、其他需要报告的事项</w:t>
      </w:r>
    </w:p>
    <w:p>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人大建议、政协提案办理情况。</w:t>
      </w:r>
    </w:p>
    <w:p>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cs="仿宋_GB2312"/>
          <w:sz w:val="32"/>
          <w:szCs w:val="32"/>
          <w:lang w:val="en-US" w:eastAsia="zh-CN"/>
        </w:rPr>
        <w:t>2020年我局未收到</w:t>
      </w:r>
      <w:r>
        <w:rPr>
          <w:rFonts w:hint="eastAsia" w:ascii="仿宋_GB2312" w:hAnsi="仿宋_GB2312" w:eastAsia="仿宋_GB2312" w:cs="仿宋_GB2312"/>
          <w:sz w:val="32"/>
          <w:szCs w:val="32"/>
        </w:rPr>
        <w:t>人大建议、政协提案</w:t>
      </w:r>
      <w:r>
        <w:rPr>
          <w:rFonts w:hint="eastAsia" w:ascii="仿宋_GB2312" w:hAnsi="仿宋_GB2312" w:eastAsia="仿宋_GB2312" w:cs="仿宋_GB2312"/>
          <w:sz w:val="32"/>
          <w:szCs w:val="32"/>
          <w:lang w:eastAsia="zh-CN"/>
        </w:rPr>
        <w:t>。</w:t>
      </w:r>
      <w:r>
        <w:rPr>
          <w:rFonts w:hint="eastAsia" w:ascii="仿宋_GB2312" w:hAnsi="仿宋_GB2312" w:eastAsia="仿宋_GB2312"/>
          <w:sz w:val="32"/>
          <w:szCs w:val="32"/>
        </w:rPr>
        <w:t> </w:t>
      </w:r>
    </w:p>
    <w:p>
      <w:pPr>
        <w:spacing w:line="560" w:lineRule="exact"/>
        <w:ind w:firstLine="640" w:firstLineChars="200"/>
        <w:rPr>
          <w:rFonts w:ascii="仿宋_GB2312" w:hAnsi="仿宋_GB2312" w:eastAsia="仿宋_GB2312"/>
          <w:sz w:val="32"/>
          <w:szCs w:val="32"/>
        </w:rPr>
      </w:pPr>
    </w:p>
    <w:p>
      <w:pPr>
        <w:wordWrap w:val="0"/>
        <w:spacing w:line="560" w:lineRule="exact"/>
        <w:ind w:firstLine="640" w:firstLineChars="200"/>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安丘市审计局  </w:t>
      </w:r>
    </w:p>
    <w:p>
      <w:pPr>
        <w:spacing w:line="560" w:lineRule="exact"/>
        <w:ind w:firstLine="640" w:firstLineChars="200"/>
        <w:jc w:val="right"/>
        <w:rPr>
          <w:rFonts w:ascii="仿宋_GB2312" w:hAnsi="仿宋_GB2312" w:eastAsia="仿宋_GB2312"/>
          <w:sz w:val="32"/>
          <w:szCs w:val="32"/>
        </w:rPr>
      </w:pPr>
      <w:r>
        <w:rPr>
          <w:rFonts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日</w:t>
      </w:r>
    </w:p>
    <w:sectPr>
      <w:footerReference r:id="rId3" w:type="default"/>
      <w:pgSz w:w="11906" w:h="16838"/>
      <w:pgMar w:top="2098" w:right="1531" w:bottom="1984" w:left="1531" w:header="851"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3"/>
                          </w:pPr>
                          <w:r>
                            <w:fldChar w:fldCharType="begin"/>
                          </w:r>
                          <w:r>
                            <w:instrText xml:space="preserve"> PAGE  \* MERGEFORMAT </w:instrText>
                          </w:r>
                          <w:r>
                            <w:fldChar w:fldCharType="separate"/>
                          </w:r>
                          <w:r>
                            <w:t>7</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&#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Y17bENUBAAClAwAADgAAAAAAAAABACAAAAAf&#10;AQAAZHJzL2Uyb0RvYy54bWxQSwUGAAAAAAYABgBZAQAAZ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oNotHyphenateCaps/>
  <w:drawingGridVerticalSpacing w:val="159"/>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139"/>
    <w:rsid w:val="00005CF8"/>
    <w:rsid w:val="00017A0E"/>
    <w:rsid w:val="000A2A7C"/>
    <w:rsid w:val="00296F75"/>
    <w:rsid w:val="003A5F7B"/>
    <w:rsid w:val="005B634B"/>
    <w:rsid w:val="007167A0"/>
    <w:rsid w:val="007773C2"/>
    <w:rsid w:val="00790767"/>
    <w:rsid w:val="007F1120"/>
    <w:rsid w:val="00936418"/>
    <w:rsid w:val="009671F5"/>
    <w:rsid w:val="00A35910"/>
    <w:rsid w:val="00B57C9D"/>
    <w:rsid w:val="00B66378"/>
    <w:rsid w:val="00B81E51"/>
    <w:rsid w:val="00C22095"/>
    <w:rsid w:val="00CB6A22"/>
    <w:rsid w:val="00D03121"/>
    <w:rsid w:val="00D66302"/>
    <w:rsid w:val="00D8745A"/>
    <w:rsid w:val="00DE79B3"/>
    <w:rsid w:val="00EE3203"/>
    <w:rsid w:val="00FE1139"/>
    <w:rsid w:val="01ED655A"/>
    <w:rsid w:val="02DB1584"/>
    <w:rsid w:val="032B28C3"/>
    <w:rsid w:val="039B52C7"/>
    <w:rsid w:val="048F6104"/>
    <w:rsid w:val="04982F85"/>
    <w:rsid w:val="08765F38"/>
    <w:rsid w:val="09F96EA8"/>
    <w:rsid w:val="0B3B2D43"/>
    <w:rsid w:val="0BF558C9"/>
    <w:rsid w:val="0C424A23"/>
    <w:rsid w:val="0C5D6F57"/>
    <w:rsid w:val="0C6902BA"/>
    <w:rsid w:val="0D074E48"/>
    <w:rsid w:val="0D535685"/>
    <w:rsid w:val="0F7612FA"/>
    <w:rsid w:val="11AC773C"/>
    <w:rsid w:val="12E840BC"/>
    <w:rsid w:val="143B3026"/>
    <w:rsid w:val="14601CC3"/>
    <w:rsid w:val="14E51239"/>
    <w:rsid w:val="173B689E"/>
    <w:rsid w:val="17B803EA"/>
    <w:rsid w:val="19B36729"/>
    <w:rsid w:val="1A676C9D"/>
    <w:rsid w:val="1B5B2A8C"/>
    <w:rsid w:val="1B6237E3"/>
    <w:rsid w:val="1D9D51A5"/>
    <w:rsid w:val="1E266CAD"/>
    <w:rsid w:val="1E4572CD"/>
    <w:rsid w:val="1E8838A9"/>
    <w:rsid w:val="1EE417B0"/>
    <w:rsid w:val="1FFD6E62"/>
    <w:rsid w:val="208B015A"/>
    <w:rsid w:val="213D0E5C"/>
    <w:rsid w:val="23B509A4"/>
    <w:rsid w:val="23F60100"/>
    <w:rsid w:val="2689071D"/>
    <w:rsid w:val="26967A0B"/>
    <w:rsid w:val="278F57AD"/>
    <w:rsid w:val="298C051C"/>
    <w:rsid w:val="2A881F7A"/>
    <w:rsid w:val="2AD23866"/>
    <w:rsid w:val="2C0B083E"/>
    <w:rsid w:val="2C2A2371"/>
    <w:rsid w:val="2F2213EB"/>
    <w:rsid w:val="2F732976"/>
    <w:rsid w:val="2F8F35E9"/>
    <w:rsid w:val="30111D0B"/>
    <w:rsid w:val="31462D15"/>
    <w:rsid w:val="316C61B0"/>
    <w:rsid w:val="32EB6D04"/>
    <w:rsid w:val="33F93E9F"/>
    <w:rsid w:val="349D2E24"/>
    <w:rsid w:val="383F6C54"/>
    <w:rsid w:val="3AD00530"/>
    <w:rsid w:val="3B7039F3"/>
    <w:rsid w:val="3BE044F1"/>
    <w:rsid w:val="3C3831AD"/>
    <w:rsid w:val="3DC405F4"/>
    <w:rsid w:val="3E4A6505"/>
    <w:rsid w:val="3F2C5C45"/>
    <w:rsid w:val="457F12F6"/>
    <w:rsid w:val="46155D19"/>
    <w:rsid w:val="46576E53"/>
    <w:rsid w:val="47915672"/>
    <w:rsid w:val="4B624700"/>
    <w:rsid w:val="4C4417EE"/>
    <w:rsid w:val="4C8860F0"/>
    <w:rsid w:val="4CB97BB8"/>
    <w:rsid w:val="4D092D3D"/>
    <w:rsid w:val="4D100E3D"/>
    <w:rsid w:val="4D32418D"/>
    <w:rsid w:val="4D4D721F"/>
    <w:rsid w:val="4D5475EA"/>
    <w:rsid w:val="4E451579"/>
    <w:rsid w:val="51F34076"/>
    <w:rsid w:val="53FE28B6"/>
    <w:rsid w:val="543E69FE"/>
    <w:rsid w:val="54AE195F"/>
    <w:rsid w:val="55BD2531"/>
    <w:rsid w:val="56015530"/>
    <w:rsid w:val="56F025BE"/>
    <w:rsid w:val="570A522B"/>
    <w:rsid w:val="57B20783"/>
    <w:rsid w:val="57F6499C"/>
    <w:rsid w:val="59840049"/>
    <w:rsid w:val="599C452F"/>
    <w:rsid w:val="599D27EE"/>
    <w:rsid w:val="5B682A47"/>
    <w:rsid w:val="5B800632"/>
    <w:rsid w:val="5BBE28DF"/>
    <w:rsid w:val="5FD407B7"/>
    <w:rsid w:val="635939BD"/>
    <w:rsid w:val="63734363"/>
    <w:rsid w:val="647B5D5D"/>
    <w:rsid w:val="64C61779"/>
    <w:rsid w:val="64DC66CD"/>
    <w:rsid w:val="652B7B3D"/>
    <w:rsid w:val="65AE3B78"/>
    <w:rsid w:val="667C4049"/>
    <w:rsid w:val="66C73C12"/>
    <w:rsid w:val="671C5855"/>
    <w:rsid w:val="671D6801"/>
    <w:rsid w:val="67BD20FC"/>
    <w:rsid w:val="68F01F1B"/>
    <w:rsid w:val="692C3004"/>
    <w:rsid w:val="69837DCB"/>
    <w:rsid w:val="69CF6A64"/>
    <w:rsid w:val="6A3E064C"/>
    <w:rsid w:val="6E14701E"/>
    <w:rsid w:val="6E692167"/>
    <w:rsid w:val="6E76151C"/>
    <w:rsid w:val="6EB83E80"/>
    <w:rsid w:val="6FC333E8"/>
    <w:rsid w:val="708038B1"/>
    <w:rsid w:val="71157F0B"/>
    <w:rsid w:val="72500187"/>
    <w:rsid w:val="73E04758"/>
    <w:rsid w:val="73F21EF8"/>
    <w:rsid w:val="742E231B"/>
    <w:rsid w:val="75D27C8E"/>
    <w:rsid w:val="76182F59"/>
    <w:rsid w:val="78B26BEC"/>
    <w:rsid w:val="7C9F05F3"/>
    <w:rsid w:val="7E40616C"/>
    <w:rsid w:val="7E7E784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3"/>
    <w:basedOn w:val="1"/>
    <w:next w:val="1"/>
    <w:link w:val="9"/>
    <w:qFormat/>
    <w:uiPriority w:val="99"/>
    <w:pPr>
      <w:spacing w:beforeAutospacing="1" w:afterAutospacing="1"/>
      <w:jc w:val="left"/>
      <w:outlineLvl w:val="2"/>
    </w:pPr>
    <w:rPr>
      <w:rFonts w:ascii="宋体" w:hAnsi="宋体" w:cs="宋体"/>
      <w:b/>
      <w:bCs/>
      <w:kern w:val="0"/>
      <w:sz w:val="27"/>
      <w:szCs w:val="27"/>
    </w:rPr>
  </w:style>
  <w:style w:type="character" w:default="1" w:styleId="8">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1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5">
    <w:name w:val="Normal (Web)"/>
    <w:basedOn w:val="1"/>
    <w:qFormat/>
    <w:uiPriority w:val="99"/>
    <w:pPr>
      <w:spacing w:beforeAutospacing="1" w:afterAutospacing="1"/>
      <w:jc w:val="left"/>
    </w:pPr>
    <w:rPr>
      <w:kern w:val="0"/>
      <w:sz w:val="24"/>
      <w:szCs w:val="24"/>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Heading 3 Char"/>
    <w:basedOn w:val="8"/>
    <w:link w:val="2"/>
    <w:semiHidden/>
    <w:qFormat/>
    <w:locked/>
    <w:uiPriority w:val="99"/>
    <w:rPr>
      <w:rFonts w:ascii="Calibri" w:hAnsi="Calibri" w:cs="Calibri"/>
      <w:b/>
      <w:bCs/>
      <w:sz w:val="32"/>
      <w:szCs w:val="32"/>
    </w:rPr>
  </w:style>
  <w:style w:type="character" w:customStyle="1" w:styleId="10">
    <w:name w:val="Footer Char"/>
    <w:basedOn w:val="8"/>
    <w:link w:val="3"/>
    <w:semiHidden/>
    <w:qFormat/>
    <w:locked/>
    <w:uiPriority w:val="99"/>
    <w:rPr>
      <w:rFonts w:ascii="Calibri" w:hAnsi="Calibri" w:cs="Calibri"/>
      <w:sz w:val="18"/>
      <w:szCs w:val="18"/>
    </w:rPr>
  </w:style>
  <w:style w:type="character" w:customStyle="1" w:styleId="11">
    <w:name w:val="Header Char"/>
    <w:basedOn w:val="8"/>
    <w:link w:val="4"/>
    <w:semiHidden/>
    <w:qFormat/>
    <w:locked/>
    <w:uiPriority w:val="99"/>
    <w:rPr>
      <w:rFonts w:ascii="Calibri" w:hAnsi="Calibri"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7</Pages>
  <Words>508</Words>
  <Characters>2899</Characters>
  <Lines>0</Lines>
  <Paragraphs>0</Paragraphs>
  <TotalTime>2</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dc:creator>
  <cp:lastModifiedBy>辛芜</cp:lastModifiedBy>
  <cp:lastPrinted>2020-01-16T07:15:00Z</cp:lastPrinted>
  <dcterms:modified xsi:type="dcterms:W3CDTF">2022-01-13T01:37:48Z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D8C9F9FB73A24D7EAFEB2E18F62BF61A</vt:lpwstr>
  </property>
</Properties>
</file>