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333333"/>
          <w:kern w:val="0"/>
          <w:sz w:val="32"/>
          <w:szCs w:val="32"/>
        </w:rPr>
      </w:pPr>
    </w:p>
    <w:p>
      <w:pPr>
        <w:jc w:val="center"/>
        <w:rPr>
          <w:rFonts w:hint="eastAsia" w:asciiTheme="majorEastAsia" w:hAnsiTheme="majorEastAsia" w:eastAsiaTheme="majorEastAsia"/>
          <w:b/>
          <w:color w:val="333333"/>
          <w:kern w:val="0"/>
          <w:sz w:val="44"/>
          <w:szCs w:val="44"/>
        </w:rPr>
      </w:pPr>
      <w:r>
        <w:rPr>
          <w:rFonts w:hint="eastAsia" w:asciiTheme="majorEastAsia" w:hAnsiTheme="majorEastAsia" w:eastAsiaTheme="majorEastAsia"/>
          <w:b/>
          <w:color w:val="333333"/>
          <w:kern w:val="0"/>
          <w:sz w:val="44"/>
          <w:szCs w:val="44"/>
        </w:rPr>
        <w:t>安丘市科学技术局</w:t>
      </w:r>
    </w:p>
    <w:p>
      <w:pPr>
        <w:jc w:val="center"/>
        <w:rPr>
          <w:rFonts w:cs="宋体" w:asciiTheme="majorEastAsia" w:hAnsiTheme="majorEastAsia" w:eastAsiaTheme="majorEastAsia"/>
          <w:b/>
          <w:color w:val="000000"/>
          <w:kern w:val="0"/>
          <w:sz w:val="32"/>
          <w:szCs w:val="32"/>
        </w:rPr>
      </w:pPr>
      <w:r>
        <w:rPr>
          <w:rFonts w:hint="eastAsia" w:asciiTheme="majorEastAsia" w:hAnsiTheme="majorEastAsia" w:eastAsiaTheme="majorEastAsia"/>
          <w:b/>
          <w:color w:val="333333"/>
          <w:kern w:val="0"/>
          <w:sz w:val="44"/>
          <w:szCs w:val="44"/>
        </w:rPr>
        <w:t>2019年</w:t>
      </w:r>
      <w:r>
        <w:rPr>
          <w:rFonts w:hint="eastAsia" w:cs="宋体" w:asciiTheme="majorEastAsia" w:hAnsiTheme="majorEastAsia" w:eastAsiaTheme="majorEastAsia"/>
          <w:b/>
          <w:bCs/>
          <w:color w:val="333333"/>
          <w:kern w:val="0"/>
          <w:sz w:val="44"/>
          <w:szCs w:val="44"/>
        </w:rPr>
        <w:t>政府信息公开工作年度报告</w:t>
      </w:r>
    </w:p>
    <w:p>
      <w:pPr>
        <w:widowControl/>
        <w:shd w:val="clear" w:color="auto" w:fill="FFFFFF"/>
        <w:spacing w:line="460" w:lineRule="exact"/>
        <w:ind w:firstLine="384"/>
        <w:jc w:val="left"/>
        <w:rPr>
          <w:rFonts w:ascii="微软雅黑" w:hAnsi="微软雅黑" w:eastAsia="微软雅黑" w:cs="宋体"/>
          <w:color w:val="000000"/>
          <w:kern w:val="0"/>
          <w:sz w:val="24"/>
          <w:szCs w:val="24"/>
        </w:rPr>
      </w:pPr>
      <w:r>
        <w:rPr>
          <w:rFonts w:hint="eastAsia" w:ascii="宋体" w:hAnsi="宋体" w:eastAsia="宋体" w:cs="宋体"/>
          <w:b/>
          <w:bCs/>
          <w:color w:val="333333"/>
          <w:kern w:val="0"/>
          <w:sz w:val="24"/>
          <w:szCs w:val="24"/>
        </w:rPr>
        <w:t>一、总体情况</w:t>
      </w:r>
    </w:p>
    <w:p>
      <w:pPr>
        <w:widowControl/>
        <w:spacing w:line="460" w:lineRule="exact"/>
        <w:ind w:firstLine="480" w:firstLineChars="200"/>
        <w:jc w:val="left"/>
        <w:rPr>
          <w:rFonts w:ascii="宋体" w:hAnsi="宋体"/>
          <w:color w:val="000000" w:themeColor="text1"/>
          <w:kern w:val="0"/>
          <w:sz w:val="24"/>
          <w:szCs w:val="24"/>
        </w:rPr>
      </w:pPr>
      <w:r>
        <w:rPr>
          <w:rFonts w:hint="eastAsia" w:ascii="宋体" w:hAnsi="宋体"/>
          <w:color w:val="000000" w:themeColor="text1"/>
          <w:kern w:val="0"/>
          <w:sz w:val="24"/>
          <w:szCs w:val="24"/>
        </w:rPr>
        <w:t>2019年，市科技局认真学习贯彻落实《中华人民共和国政府信息公开条例》，按照“公开为原则，不公开为例外”的总体要求，把政府信息公开工作纳入重要议事日程，做到依法公开、优化服务、方便群众，有效提升了公共服务水平，促进了政府职能转变和法治政府建设。</w:t>
      </w:r>
    </w:p>
    <w:p>
      <w:pPr>
        <w:widowControl/>
        <w:spacing w:line="460" w:lineRule="exact"/>
        <w:ind w:firstLine="480" w:firstLineChars="200"/>
        <w:jc w:val="left"/>
        <w:rPr>
          <w:rFonts w:ascii="宋体" w:hAnsi="宋体"/>
          <w:color w:val="000000" w:themeColor="text1"/>
          <w:kern w:val="0"/>
          <w:sz w:val="24"/>
          <w:szCs w:val="24"/>
        </w:rPr>
      </w:pPr>
      <w:r>
        <w:rPr>
          <w:rFonts w:hint="eastAsia" w:ascii="宋体" w:hAnsi="宋体"/>
          <w:color w:val="000000" w:themeColor="text1"/>
          <w:kern w:val="0"/>
          <w:sz w:val="24"/>
          <w:szCs w:val="24"/>
        </w:rPr>
        <w:t>（一）主动公开情况</w:t>
      </w:r>
    </w:p>
    <w:p>
      <w:pPr>
        <w:widowControl/>
        <w:spacing w:line="460" w:lineRule="exact"/>
        <w:ind w:firstLine="480" w:firstLineChars="200"/>
        <w:jc w:val="left"/>
        <w:rPr>
          <w:rFonts w:hint="eastAsia" w:ascii="宋体" w:hAnsi="宋体"/>
          <w:color w:val="000000" w:themeColor="text1"/>
          <w:kern w:val="0"/>
          <w:sz w:val="24"/>
          <w:szCs w:val="24"/>
        </w:rPr>
      </w:pPr>
      <w:r>
        <w:rPr>
          <w:rFonts w:hint="eastAsia" w:ascii="宋体" w:hAnsi="宋体"/>
          <w:color w:val="000000" w:themeColor="text1"/>
          <w:kern w:val="0"/>
          <w:sz w:val="24"/>
          <w:szCs w:val="24"/>
        </w:rPr>
        <w:t>我局信息公开的渠道和场所主要有：政府信息公开平台、局政务公开栏等。2019年以来，我局主动公开部门政府信息35条，其中组织机构信息6条、工作信息11条、执行公开信息2条、管理公开信息1条、结果公开信息1条、其他信息6条、重点领域信息8条。2019年，我局以政务公开助力产业结构调整，推进新旧动能转换，“市科技局积极做好国家科技型中小企业评价工作”、“ 科技创新项目再获新突破”等做法在市政府门户网站公开。</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宋体" w:hAnsi="宋体"/>
          <w:color w:val="000000" w:themeColor="text1"/>
          <w:kern w:val="0"/>
          <w:sz w:val="24"/>
          <w:szCs w:val="24"/>
        </w:rPr>
      </w:pPr>
      <w:r>
        <w:rPr>
          <w:rFonts w:hint="eastAsia" w:eastAsia="宋体"/>
          <w:lang w:eastAsia="zh-CN"/>
        </w:rPr>
        <w:object>
          <v:shape id="_x0000_i1025" o:spt="75" type="#_x0000_t75" style="height:283.6pt;width:373.55pt;" o:ole="t" filled="f" o:preferrelative="t" stroked="f" coordsize="21600,21600">
            <v:path/>
            <v:fill on="f" focussize="0,0"/>
            <v:stroke on="f"/>
            <v:imagedata r:id="rId6" o:title=""/>
            <o:lock v:ext="edit" aspectratio="f"/>
            <w10:wrap type="none"/>
            <w10:anchorlock/>
          </v:shape>
          <o:OLEObject Type="Embed" ProgID="excel.sheet.8" ShapeID="_x0000_i1025" DrawAspect="Content" ObjectID="_1468075725" r:id="rId5">
            <o:LockedField>false</o:LockedField>
          </o:OLEObject>
        </w:object>
      </w:r>
    </w:p>
    <w:p>
      <w:pPr>
        <w:widowControl/>
        <w:spacing w:line="460" w:lineRule="exact"/>
        <w:ind w:firstLine="480" w:firstLineChars="200"/>
        <w:jc w:val="left"/>
        <w:rPr>
          <w:rFonts w:ascii="宋体" w:hAnsi="宋体"/>
          <w:color w:val="000000" w:themeColor="text1"/>
          <w:kern w:val="0"/>
          <w:sz w:val="24"/>
          <w:szCs w:val="24"/>
        </w:rPr>
      </w:pPr>
      <w:r>
        <w:rPr>
          <w:rFonts w:hint="eastAsia" w:ascii="宋体" w:hAnsi="宋体"/>
          <w:color w:val="000000" w:themeColor="text1"/>
          <w:kern w:val="0"/>
          <w:sz w:val="24"/>
          <w:szCs w:val="24"/>
        </w:rPr>
        <w:t>（二）依申请公开情况</w:t>
      </w:r>
    </w:p>
    <w:p>
      <w:pPr>
        <w:widowControl/>
        <w:spacing w:line="460" w:lineRule="exact"/>
        <w:ind w:firstLine="480" w:firstLineChars="200"/>
        <w:jc w:val="left"/>
        <w:rPr>
          <w:rFonts w:ascii="宋体" w:hAnsi="宋体"/>
          <w:color w:val="000000" w:themeColor="text1"/>
          <w:kern w:val="0"/>
          <w:sz w:val="24"/>
          <w:szCs w:val="24"/>
        </w:rPr>
      </w:pPr>
      <w:r>
        <w:rPr>
          <w:rFonts w:hint="eastAsia" w:ascii="宋体" w:hAnsi="宋体"/>
          <w:color w:val="000000" w:themeColor="text1"/>
          <w:kern w:val="0"/>
          <w:sz w:val="24"/>
          <w:szCs w:val="24"/>
        </w:rPr>
        <w:t>2019年，我局未收到政府信息公开申请。</w:t>
      </w:r>
    </w:p>
    <w:p>
      <w:pPr>
        <w:widowControl/>
        <w:spacing w:line="460" w:lineRule="exact"/>
        <w:ind w:firstLine="480" w:firstLineChars="200"/>
        <w:jc w:val="left"/>
        <w:rPr>
          <w:rFonts w:ascii="宋体" w:hAnsi="宋体"/>
          <w:color w:val="000000" w:themeColor="text1"/>
          <w:kern w:val="0"/>
          <w:sz w:val="24"/>
          <w:szCs w:val="24"/>
        </w:rPr>
      </w:pPr>
      <w:r>
        <w:rPr>
          <w:rFonts w:hint="eastAsia" w:ascii="宋体" w:hAnsi="宋体"/>
          <w:color w:val="000000" w:themeColor="text1"/>
          <w:kern w:val="0"/>
          <w:sz w:val="24"/>
          <w:szCs w:val="24"/>
        </w:rPr>
        <w:t>（三）政府信息管理情况。</w:t>
      </w:r>
    </w:p>
    <w:p>
      <w:pPr>
        <w:widowControl/>
        <w:spacing w:line="460" w:lineRule="exact"/>
        <w:ind w:firstLine="480" w:firstLineChars="200"/>
        <w:jc w:val="left"/>
        <w:rPr>
          <w:rFonts w:ascii="宋体" w:hAnsi="宋体"/>
          <w:color w:val="000000" w:themeColor="text1"/>
          <w:kern w:val="0"/>
          <w:sz w:val="24"/>
          <w:szCs w:val="24"/>
        </w:rPr>
      </w:pPr>
      <w:r>
        <w:rPr>
          <w:rFonts w:hint="eastAsia" w:ascii="宋体" w:hAnsi="宋体"/>
          <w:color w:val="000000" w:themeColor="text1"/>
          <w:kern w:val="0"/>
          <w:sz w:val="24"/>
          <w:szCs w:val="24"/>
        </w:rPr>
        <w:t>一是加强组织领导。根据我局人事变动，及时调整了政务公开工作领导小组，成立了由主要领导任组长，分管领导任副组长，各科室负责人为成员的组织机构；明确专人负责政务公开的具体事务性工作，落实公开信息分管领导把关、审批制度，通过健全政务信息公开组织机构，有组织、有领导、有计划，积极稳妥地推进政府信息公开工作。</w:t>
      </w:r>
    </w:p>
    <w:p>
      <w:pPr>
        <w:widowControl/>
        <w:spacing w:line="460" w:lineRule="exact"/>
        <w:ind w:firstLine="480" w:firstLineChars="200"/>
        <w:jc w:val="left"/>
        <w:rPr>
          <w:rFonts w:ascii="宋体" w:hAnsi="宋体"/>
          <w:color w:val="000000" w:themeColor="text1"/>
          <w:kern w:val="0"/>
          <w:sz w:val="24"/>
          <w:szCs w:val="24"/>
        </w:rPr>
      </w:pPr>
      <w:r>
        <w:rPr>
          <w:rFonts w:hint="eastAsia" w:ascii="宋体" w:hAnsi="宋体"/>
          <w:color w:val="000000" w:themeColor="text1"/>
          <w:kern w:val="0"/>
          <w:sz w:val="24"/>
          <w:szCs w:val="24"/>
        </w:rPr>
        <w:t>二是做好专业培训。全面开展信息公开理论培训，将《</w:t>
      </w:r>
      <w:r>
        <w:rPr>
          <w:rFonts w:hint="eastAsia" w:ascii="宋体" w:hAnsi="宋体"/>
          <w:color w:val="000000" w:themeColor="text1"/>
          <w:kern w:val="0"/>
          <w:sz w:val="24"/>
          <w:szCs w:val="24"/>
          <w:lang w:eastAsia="zh-CN"/>
        </w:rPr>
        <w:t>中华人民共和国政府</w:t>
      </w:r>
      <w:r>
        <w:rPr>
          <w:rFonts w:hint="eastAsia" w:ascii="宋体" w:hAnsi="宋体"/>
          <w:color w:val="000000" w:themeColor="text1"/>
          <w:kern w:val="0"/>
          <w:sz w:val="24"/>
          <w:szCs w:val="24"/>
        </w:rPr>
        <w:t>信息公开条例》和《山东省政府信息公开办法》列入学习计划，积极开展信息公开业务培训，组织干部职工深入学习，不断提高工作人员的业务能力。全年共组织政务信息公开培训2次，培训12人次。</w:t>
      </w:r>
    </w:p>
    <w:p>
      <w:pPr>
        <w:widowControl/>
        <w:spacing w:line="460" w:lineRule="exact"/>
        <w:ind w:firstLine="480" w:firstLineChars="200"/>
        <w:jc w:val="left"/>
        <w:rPr>
          <w:rFonts w:ascii="宋体" w:hAnsi="宋体"/>
          <w:color w:val="000000" w:themeColor="text1"/>
          <w:kern w:val="0"/>
          <w:sz w:val="24"/>
          <w:szCs w:val="24"/>
        </w:rPr>
      </w:pPr>
      <w:r>
        <w:rPr>
          <w:rFonts w:hint="eastAsia" w:ascii="宋体" w:hAnsi="宋体"/>
          <w:color w:val="000000" w:themeColor="text1"/>
          <w:kern w:val="0"/>
          <w:sz w:val="24"/>
          <w:szCs w:val="24"/>
        </w:rPr>
        <w:t>三是完善制度建设。进一步完善了《安丘市科技局关于推进政务公开工作的实施方案》，制定出台了《安丘市科技局政府信息公开保密审查制度》，进一步规范和细化政务公开工作的程序、内容及要求，对政务公开的操作流程、公开范围和渠道、保密审查、依申请公开处理规则进行细化和明确，使政务公开的条目更清晰，程序更规范，责任更明确。</w:t>
      </w:r>
    </w:p>
    <w:p>
      <w:pPr>
        <w:widowControl/>
        <w:spacing w:line="460" w:lineRule="exact"/>
        <w:ind w:firstLine="480" w:firstLineChars="200"/>
        <w:jc w:val="left"/>
        <w:rPr>
          <w:rFonts w:ascii="宋体" w:hAnsi="宋体"/>
          <w:color w:val="000000" w:themeColor="text1"/>
          <w:kern w:val="0"/>
          <w:sz w:val="24"/>
          <w:szCs w:val="24"/>
        </w:rPr>
      </w:pPr>
      <w:r>
        <w:rPr>
          <w:rFonts w:hint="eastAsia" w:ascii="宋体" w:hAnsi="宋体"/>
          <w:color w:val="000000" w:themeColor="text1"/>
          <w:kern w:val="0"/>
          <w:sz w:val="24"/>
          <w:szCs w:val="24"/>
        </w:rPr>
        <w:t>（四）平台建设情况</w:t>
      </w:r>
    </w:p>
    <w:p>
      <w:pPr>
        <w:widowControl/>
        <w:spacing w:line="460" w:lineRule="exact"/>
        <w:ind w:firstLine="480" w:firstLineChars="200"/>
        <w:jc w:val="left"/>
        <w:rPr>
          <w:rFonts w:ascii="宋体" w:hAnsi="宋体"/>
          <w:color w:val="000000" w:themeColor="text1"/>
          <w:kern w:val="0"/>
          <w:sz w:val="24"/>
          <w:szCs w:val="24"/>
        </w:rPr>
      </w:pPr>
      <w:r>
        <w:rPr>
          <w:rFonts w:hint="eastAsia" w:ascii="宋体" w:hAnsi="宋体"/>
          <w:color w:val="000000" w:themeColor="text1"/>
          <w:kern w:val="0"/>
          <w:sz w:val="24"/>
          <w:szCs w:val="24"/>
        </w:rPr>
        <w:t>我局主要依托市政府门户网站进行政府信息公开，同时在局办公场所设立政务公开栏，安排专人负责，做好公开平台的维护、运行工作。</w:t>
      </w:r>
    </w:p>
    <w:p>
      <w:pPr>
        <w:widowControl/>
        <w:spacing w:line="460" w:lineRule="exact"/>
        <w:ind w:firstLine="480" w:firstLineChars="200"/>
        <w:jc w:val="left"/>
        <w:rPr>
          <w:rFonts w:ascii="宋体" w:hAnsi="宋体"/>
          <w:color w:val="000000" w:themeColor="text1"/>
          <w:kern w:val="0"/>
          <w:sz w:val="24"/>
          <w:szCs w:val="24"/>
        </w:rPr>
      </w:pPr>
      <w:r>
        <w:rPr>
          <w:rFonts w:hint="eastAsia" w:ascii="宋体" w:hAnsi="宋体"/>
          <w:color w:val="000000" w:themeColor="text1"/>
          <w:kern w:val="0"/>
          <w:sz w:val="24"/>
          <w:szCs w:val="24"/>
        </w:rPr>
        <w:t>（五）监督保障情况</w:t>
      </w:r>
    </w:p>
    <w:p>
      <w:pPr>
        <w:widowControl/>
        <w:shd w:val="clear" w:color="auto" w:fill="FFFFFF"/>
        <w:spacing w:line="460" w:lineRule="exact"/>
        <w:ind w:firstLine="480" w:firstLineChars="200"/>
        <w:rPr>
          <w:rFonts w:hint="eastAsia" w:ascii="宋体" w:hAnsi="宋体"/>
          <w:color w:val="000000" w:themeColor="text1"/>
          <w:kern w:val="0"/>
          <w:sz w:val="24"/>
          <w:szCs w:val="24"/>
        </w:rPr>
      </w:pPr>
      <w:r>
        <w:rPr>
          <w:rFonts w:hint="eastAsia" w:ascii="宋体" w:hAnsi="宋体"/>
          <w:color w:val="000000" w:themeColor="text1"/>
          <w:kern w:val="0"/>
          <w:sz w:val="24"/>
          <w:szCs w:val="24"/>
        </w:rPr>
        <w:t>我局政府信息公开工作接受市政府信息公开主管部门监督和指导，同时，按照局内部制度，对政府信息的制作、发布实行严格分级审核，由信息制作科室、分管负责人、主要负责人层层审核，确保信息准确无误。</w:t>
      </w:r>
    </w:p>
    <w:p>
      <w:pPr>
        <w:widowControl/>
        <w:shd w:val="clear" w:color="auto" w:fill="FFFFFF"/>
        <w:spacing w:line="460" w:lineRule="exact"/>
        <w:ind w:firstLine="480" w:firstLineChars="200"/>
        <w:rPr>
          <w:rFonts w:hint="eastAsia" w:ascii="宋体" w:hAnsi="宋体"/>
          <w:color w:val="000000" w:themeColor="text1"/>
          <w:kern w:val="0"/>
          <w:sz w:val="24"/>
          <w:szCs w:val="24"/>
        </w:rPr>
      </w:pPr>
      <w:r>
        <w:rPr>
          <w:rFonts w:hint="eastAsia" w:ascii="宋体" w:hAnsi="宋体"/>
          <w:color w:val="000000" w:themeColor="text1"/>
          <w:kern w:val="0"/>
          <w:sz w:val="24"/>
          <w:szCs w:val="24"/>
          <w:lang w:eastAsia="zh-CN"/>
        </w:rPr>
        <w:t>（六）</w:t>
      </w:r>
      <w:r>
        <w:rPr>
          <w:rFonts w:hint="eastAsia" w:ascii="宋体" w:hAnsi="宋体"/>
          <w:color w:val="000000" w:themeColor="text1"/>
          <w:kern w:val="0"/>
          <w:sz w:val="24"/>
          <w:szCs w:val="24"/>
        </w:rPr>
        <w:t>建议提案办理结果公开情况</w:t>
      </w:r>
    </w:p>
    <w:p>
      <w:pPr>
        <w:widowControl/>
        <w:shd w:val="clear" w:color="auto" w:fill="FFFFFF"/>
        <w:spacing w:line="460" w:lineRule="exact"/>
        <w:ind w:firstLine="480" w:firstLineChars="200"/>
        <w:rPr>
          <w:rFonts w:hint="eastAsia" w:ascii="宋体" w:hAnsi="宋体"/>
          <w:color w:val="000000" w:themeColor="text1"/>
          <w:kern w:val="0"/>
          <w:sz w:val="24"/>
          <w:szCs w:val="24"/>
        </w:rPr>
      </w:pPr>
      <w:r>
        <w:rPr>
          <w:rFonts w:hint="eastAsia" w:ascii="宋体" w:hAnsi="宋体"/>
          <w:color w:val="000000" w:themeColor="text1"/>
          <w:kern w:val="0"/>
          <w:sz w:val="24"/>
          <w:szCs w:val="24"/>
        </w:rPr>
        <w:t xml:space="preserve"> 201</w:t>
      </w:r>
      <w:r>
        <w:rPr>
          <w:rFonts w:hint="eastAsia" w:ascii="宋体" w:hAnsi="宋体"/>
          <w:color w:val="000000" w:themeColor="text1"/>
          <w:kern w:val="0"/>
          <w:sz w:val="24"/>
          <w:szCs w:val="24"/>
          <w:lang w:val="en-US" w:eastAsia="zh-CN"/>
        </w:rPr>
        <w:t>9</w:t>
      </w:r>
      <w:r>
        <w:rPr>
          <w:rFonts w:hint="eastAsia" w:ascii="宋体" w:hAnsi="宋体"/>
          <w:color w:val="000000" w:themeColor="text1"/>
          <w:kern w:val="0"/>
          <w:sz w:val="24"/>
          <w:szCs w:val="24"/>
        </w:rPr>
        <w:t>年，安丘市科技局关于市政协十届二次会议《支持鼓励发明家参入安丘大众创业万众创新的行列中为安丘经济科技做贡献的提案》（第120号）、《关于加快中小企业科技创新的建议》（第121号）提案的答复和安丘市科技局201</w:t>
      </w:r>
      <w:r>
        <w:rPr>
          <w:rFonts w:hint="eastAsia" w:ascii="宋体" w:hAnsi="宋体"/>
          <w:color w:val="000000" w:themeColor="text1"/>
          <w:kern w:val="0"/>
          <w:sz w:val="24"/>
          <w:szCs w:val="24"/>
          <w:lang w:val="en-US" w:eastAsia="zh-CN"/>
        </w:rPr>
        <w:t>9</w:t>
      </w:r>
      <w:r>
        <w:rPr>
          <w:rFonts w:hint="eastAsia" w:ascii="宋体" w:hAnsi="宋体"/>
          <w:color w:val="000000" w:themeColor="text1"/>
          <w:kern w:val="0"/>
          <w:sz w:val="24"/>
          <w:szCs w:val="24"/>
        </w:rPr>
        <w:t>年政协提案办理情况在市政府门户网站公开。</w:t>
      </w:r>
    </w:p>
    <w:p>
      <w:pPr>
        <w:widowControl/>
        <w:numPr>
          <w:ilvl w:val="0"/>
          <w:numId w:val="1"/>
        </w:numPr>
        <w:shd w:val="clear" w:color="auto" w:fill="FFFFFF"/>
        <w:spacing w:line="460" w:lineRule="exact"/>
        <w:ind w:firstLine="720" w:firstLineChars="300"/>
        <w:rPr>
          <w:rFonts w:hint="eastAsia" w:ascii="宋体" w:hAnsi="宋体"/>
          <w:color w:val="000000" w:themeColor="text1"/>
          <w:kern w:val="0"/>
          <w:sz w:val="24"/>
          <w:szCs w:val="24"/>
          <w:lang w:val="en-US" w:eastAsia="zh-CN"/>
        </w:rPr>
      </w:pPr>
      <w:r>
        <w:rPr>
          <w:rFonts w:hint="eastAsia" w:ascii="宋体" w:hAnsi="宋体"/>
          <w:color w:val="000000" w:themeColor="text1"/>
          <w:kern w:val="0"/>
          <w:sz w:val="24"/>
          <w:szCs w:val="24"/>
          <w:lang w:val="en-US" w:eastAsia="zh-CN"/>
        </w:rPr>
        <w:t>工作考核、社会评议和责任结果追究结果情况</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宋体" w:hAnsi="宋体"/>
          <w:color w:val="000000" w:themeColor="text1"/>
          <w:kern w:val="0"/>
          <w:sz w:val="24"/>
          <w:szCs w:val="24"/>
          <w:lang w:val="en-US" w:eastAsia="zh-CN"/>
        </w:rPr>
      </w:pPr>
      <w:r>
        <w:rPr>
          <w:rFonts w:hint="eastAsia" w:ascii="宋体" w:hAnsi="宋体"/>
          <w:color w:val="000000" w:themeColor="text1"/>
          <w:kern w:val="0"/>
          <w:sz w:val="24"/>
          <w:szCs w:val="24"/>
          <w:lang w:val="en-US" w:eastAsia="zh-CN"/>
        </w:rPr>
        <w:t>1.</w:t>
      </w:r>
      <w:bookmarkStart w:id="0" w:name="_GoBack"/>
      <w:bookmarkEnd w:id="0"/>
      <w:r>
        <w:rPr>
          <w:rFonts w:hint="eastAsia" w:ascii="宋体" w:hAnsi="宋体"/>
          <w:color w:val="000000" w:themeColor="text1"/>
          <w:kern w:val="0"/>
          <w:sz w:val="24"/>
          <w:szCs w:val="24"/>
          <w:lang w:val="en-US" w:eastAsia="zh-CN"/>
        </w:rPr>
        <w:t xml:space="preserve">建立考核制度。主动接受市政府政务公开办公室对我局政务公开工作的监督，同时根据市政府政务公开办公室政务公开日常记账考核制度，制定科技局政务公开考核制度，发现问题督促各科室立即整改，确保政务信息及时准确发布。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宋体" w:hAnsi="宋体"/>
          <w:color w:val="000000" w:themeColor="text1"/>
          <w:kern w:val="0"/>
          <w:sz w:val="24"/>
          <w:szCs w:val="24"/>
          <w:lang w:val="en-US" w:eastAsia="zh-CN"/>
        </w:rPr>
      </w:pPr>
      <w:r>
        <w:rPr>
          <w:rFonts w:hint="eastAsia" w:ascii="宋体" w:hAnsi="宋体"/>
          <w:color w:val="000000" w:themeColor="text1"/>
          <w:kern w:val="0"/>
          <w:sz w:val="24"/>
          <w:szCs w:val="24"/>
          <w:lang w:val="en-US" w:eastAsia="zh-CN"/>
        </w:rPr>
        <w:t>2.主动听取社会公众意见。对于需要向社会进行意见征集的，及时在政府网站进行公示，并注明联系电话和邮箱，积极主动听取社会公众的意见与建议，及时进行解答。</w:t>
      </w:r>
    </w:p>
    <w:p>
      <w:pPr>
        <w:widowControl/>
        <w:shd w:val="clear" w:color="auto" w:fill="FFFFFF"/>
        <w:spacing w:after="192" w:line="460" w:lineRule="exact"/>
        <w:ind w:firstLine="384"/>
        <w:jc w:val="left"/>
        <w:rPr>
          <w:rFonts w:hint="eastAsia" w:ascii="宋体" w:hAnsi="宋体"/>
          <w:color w:val="000000" w:themeColor="text1"/>
          <w:kern w:val="0"/>
          <w:sz w:val="24"/>
          <w:szCs w:val="24"/>
          <w:lang w:val="en-US" w:eastAsia="zh-CN"/>
        </w:rPr>
      </w:pPr>
      <w:r>
        <w:rPr>
          <w:rFonts w:hint="eastAsia" w:ascii="宋体" w:hAnsi="宋体"/>
          <w:color w:val="000000" w:themeColor="text1"/>
          <w:kern w:val="0"/>
          <w:sz w:val="24"/>
          <w:szCs w:val="24"/>
          <w:lang w:val="en-US" w:eastAsia="zh-CN"/>
        </w:rPr>
        <w:t xml:space="preserve"> 3.责任追究结果情况。2019年度我局未出现因信息公开不到位需要进行责任结果追究结果的情况。</w:t>
      </w:r>
    </w:p>
    <w:p>
      <w:pPr>
        <w:widowControl/>
        <w:shd w:val="clear" w:color="auto" w:fill="FFFFFF"/>
        <w:spacing w:after="192" w:line="460" w:lineRule="exact"/>
        <w:ind w:firstLine="384"/>
        <w:jc w:val="left"/>
        <w:rPr>
          <w:rFonts w:ascii="微软雅黑" w:hAnsi="微软雅黑" w:eastAsia="微软雅黑" w:cs="宋体"/>
          <w:color w:val="000000"/>
          <w:kern w:val="0"/>
          <w:sz w:val="24"/>
          <w:szCs w:val="24"/>
        </w:rPr>
      </w:pPr>
      <w:r>
        <w:rPr>
          <w:rFonts w:hint="eastAsia" w:ascii="宋体" w:hAnsi="宋体" w:eastAsia="宋体" w:cs="宋体"/>
          <w:b/>
          <w:bCs/>
          <w:color w:val="333333"/>
          <w:kern w:val="0"/>
          <w:sz w:val="24"/>
          <w:szCs w:val="24"/>
        </w:rPr>
        <w:t>二、主动公开政府信息情况</w:t>
      </w:r>
    </w:p>
    <w:tbl>
      <w:tblPr>
        <w:tblStyle w:val="6"/>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30"/>
        <w:gridCol w:w="2009"/>
        <w:gridCol w:w="139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189" w:type="dxa"/>
            <w:gridSpan w:val="5"/>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3090" w:type="dxa"/>
            <w:gridSpan w:val="2"/>
            <w:vAlign w:val="center"/>
          </w:tcPr>
          <w:p>
            <w:pPr>
              <w:spacing w:line="32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信息内容</w:t>
            </w:r>
          </w:p>
        </w:tc>
        <w:tc>
          <w:tcPr>
            <w:tcW w:w="2009" w:type="dxa"/>
            <w:vAlign w:val="center"/>
          </w:tcPr>
          <w:p>
            <w:pPr>
              <w:spacing w:line="32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本年新制作数量</w:t>
            </w:r>
          </w:p>
        </w:tc>
        <w:tc>
          <w:tcPr>
            <w:tcW w:w="1390" w:type="dxa"/>
            <w:vAlign w:val="center"/>
          </w:tcPr>
          <w:p>
            <w:pPr>
              <w:spacing w:line="32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本年新</w:t>
            </w:r>
          </w:p>
          <w:p>
            <w:pPr>
              <w:spacing w:line="32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公开数量</w:t>
            </w:r>
          </w:p>
        </w:tc>
        <w:tc>
          <w:tcPr>
            <w:tcW w:w="1700" w:type="dxa"/>
            <w:vAlign w:val="center"/>
          </w:tcPr>
          <w:p>
            <w:pPr>
              <w:spacing w:line="32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对外公开</w:t>
            </w:r>
          </w:p>
          <w:p>
            <w:pPr>
              <w:spacing w:line="32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090" w:type="dxa"/>
            <w:gridSpan w:val="2"/>
            <w:vAlign w:val="center"/>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规章</w:t>
            </w:r>
          </w:p>
        </w:tc>
        <w:tc>
          <w:tcPr>
            <w:tcW w:w="2009"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1390"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1700"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090" w:type="dxa"/>
            <w:gridSpan w:val="2"/>
            <w:vAlign w:val="center"/>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规范性文件</w:t>
            </w:r>
          </w:p>
        </w:tc>
        <w:tc>
          <w:tcPr>
            <w:tcW w:w="2009"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1390"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1700"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89" w:type="dxa"/>
            <w:gridSpan w:val="5"/>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3090" w:type="dxa"/>
            <w:gridSpan w:val="2"/>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信息内容</w:t>
            </w:r>
          </w:p>
        </w:tc>
        <w:tc>
          <w:tcPr>
            <w:tcW w:w="2009"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上一年项目数量</w:t>
            </w:r>
          </w:p>
        </w:tc>
        <w:tc>
          <w:tcPr>
            <w:tcW w:w="1390"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本年增/减</w:t>
            </w:r>
          </w:p>
        </w:tc>
        <w:tc>
          <w:tcPr>
            <w:tcW w:w="1700"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090" w:type="dxa"/>
            <w:gridSpan w:val="2"/>
            <w:vAlign w:val="center"/>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行政许可</w:t>
            </w:r>
          </w:p>
        </w:tc>
        <w:tc>
          <w:tcPr>
            <w:tcW w:w="2009"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1390"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1700"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090" w:type="dxa"/>
            <w:gridSpan w:val="2"/>
            <w:vAlign w:val="center"/>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其他对外管理服务事项</w:t>
            </w:r>
          </w:p>
        </w:tc>
        <w:tc>
          <w:tcPr>
            <w:tcW w:w="2009"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1390"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1700"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89" w:type="dxa"/>
            <w:gridSpan w:val="5"/>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090" w:type="dxa"/>
            <w:gridSpan w:val="2"/>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信息内容</w:t>
            </w:r>
          </w:p>
        </w:tc>
        <w:tc>
          <w:tcPr>
            <w:tcW w:w="2009"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上一年项目数量</w:t>
            </w:r>
          </w:p>
        </w:tc>
        <w:tc>
          <w:tcPr>
            <w:tcW w:w="1390"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本年增/减</w:t>
            </w:r>
          </w:p>
        </w:tc>
        <w:tc>
          <w:tcPr>
            <w:tcW w:w="1700"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090" w:type="dxa"/>
            <w:gridSpan w:val="2"/>
            <w:vAlign w:val="center"/>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行政处罚</w:t>
            </w:r>
          </w:p>
        </w:tc>
        <w:tc>
          <w:tcPr>
            <w:tcW w:w="2009"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1390"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1700"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090" w:type="dxa"/>
            <w:gridSpan w:val="2"/>
            <w:vAlign w:val="center"/>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行政强制</w:t>
            </w:r>
          </w:p>
        </w:tc>
        <w:tc>
          <w:tcPr>
            <w:tcW w:w="2009"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1390"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1700"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89" w:type="dxa"/>
            <w:gridSpan w:val="5"/>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090" w:type="dxa"/>
            <w:gridSpan w:val="2"/>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信息内容</w:t>
            </w:r>
          </w:p>
        </w:tc>
        <w:tc>
          <w:tcPr>
            <w:tcW w:w="2009"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上一年项目数量</w:t>
            </w:r>
          </w:p>
        </w:tc>
        <w:tc>
          <w:tcPr>
            <w:tcW w:w="3090" w:type="dxa"/>
            <w:gridSpan w:val="2"/>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090" w:type="dxa"/>
            <w:gridSpan w:val="2"/>
            <w:vAlign w:val="center"/>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行政事业性收费</w:t>
            </w:r>
          </w:p>
        </w:tc>
        <w:tc>
          <w:tcPr>
            <w:tcW w:w="2009"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3090" w:type="dxa"/>
            <w:gridSpan w:val="2"/>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89" w:type="dxa"/>
            <w:gridSpan w:val="5"/>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60"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信息内容</w:t>
            </w:r>
          </w:p>
        </w:tc>
        <w:tc>
          <w:tcPr>
            <w:tcW w:w="2939" w:type="dxa"/>
            <w:gridSpan w:val="2"/>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采购项目数量</w:t>
            </w:r>
          </w:p>
        </w:tc>
        <w:tc>
          <w:tcPr>
            <w:tcW w:w="3090" w:type="dxa"/>
            <w:gridSpan w:val="2"/>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60" w:type="dxa"/>
            <w:vAlign w:val="center"/>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政府集中采购</w:t>
            </w:r>
          </w:p>
        </w:tc>
        <w:tc>
          <w:tcPr>
            <w:tcW w:w="2939" w:type="dxa"/>
            <w:gridSpan w:val="2"/>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3090" w:type="dxa"/>
            <w:gridSpan w:val="2"/>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bl>
    <w:p>
      <w:pPr>
        <w:spacing w:line="560" w:lineRule="exact"/>
        <w:ind w:firstLine="480" w:firstLineChars="200"/>
        <w:rPr>
          <w:rFonts w:ascii="黑体" w:hAnsi="黑体" w:eastAsia="黑体"/>
          <w:sz w:val="24"/>
          <w:szCs w:val="24"/>
        </w:rPr>
      </w:pPr>
      <w:r>
        <w:rPr>
          <w:rFonts w:hint="eastAsia" w:ascii="黑体" w:hAnsi="黑体" w:eastAsia="黑体"/>
          <w:sz w:val="24"/>
          <w:szCs w:val="24"/>
        </w:rPr>
        <w:t>三、收到和处理政府信息公开申请情况</w:t>
      </w:r>
    </w:p>
    <w:tbl>
      <w:tblPr>
        <w:tblStyle w:val="6"/>
        <w:tblW w:w="8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230"/>
        <w:gridCol w:w="2234"/>
        <w:gridCol w:w="734"/>
        <w:gridCol w:w="586"/>
        <w:gridCol w:w="586"/>
        <w:gridCol w:w="587"/>
        <w:gridCol w:w="586"/>
        <w:gridCol w:w="592"/>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970" w:type="dxa"/>
            <w:gridSpan w:val="3"/>
            <w:vMerge w:val="restart"/>
          </w:tcPr>
          <w:p>
            <w:pPr>
              <w:spacing w:line="3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（本列数据的勾稽关系为：第一项加第二项之和，等于第三项加第四项之和）</w:t>
            </w:r>
          </w:p>
        </w:tc>
        <w:tc>
          <w:tcPr>
            <w:tcW w:w="4255" w:type="dxa"/>
            <w:gridSpan w:val="7"/>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970" w:type="dxa"/>
            <w:gridSpan w:val="3"/>
            <w:vMerge w:val="continue"/>
          </w:tcPr>
          <w:p>
            <w:pPr>
              <w:spacing w:line="360" w:lineRule="exact"/>
              <w:rPr>
                <w:rFonts w:cs="Times New Roman" w:asciiTheme="minorEastAsia" w:hAnsiTheme="minorEastAsia" w:eastAsiaTheme="minorEastAsia"/>
                <w:kern w:val="0"/>
                <w:sz w:val="24"/>
                <w:szCs w:val="24"/>
              </w:rPr>
            </w:pPr>
          </w:p>
        </w:tc>
        <w:tc>
          <w:tcPr>
            <w:tcW w:w="734" w:type="dxa"/>
            <w:vMerge w:val="restart"/>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自然人</w:t>
            </w:r>
          </w:p>
        </w:tc>
        <w:tc>
          <w:tcPr>
            <w:tcW w:w="2937" w:type="dxa"/>
            <w:gridSpan w:val="5"/>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法人或其他组织</w:t>
            </w:r>
          </w:p>
        </w:tc>
        <w:tc>
          <w:tcPr>
            <w:tcW w:w="584" w:type="dxa"/>
            <w:vMerge w:val="restart"/>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3970" w:type="dxa"/>
            <w:gridSpan w:val="3"/>
            <w:vMerge w:val="continue"/>
          </w:tcPr>
          <w:p>
            <w:pPr>
              <w:spacing w:line="360" w:lineRule="exact"/>
              <w:rPr>
                <w:rFonts w:cs="Times New Roman" w:asciiTheme="minorEastAsia" w:hAnsiTheme="minorEastAsia" w:eastAsiaTheme="minorEastAsia"/>
                <w:kern w:val="0"/>
                <w:sz w:val="24"/>
                <w:szCs w:val="24"/>
              </w:rPr>
            </w:pPr>
          </w:p>
        </w:tc>
        <w:tc>
          <w:tcPr>
            <w:tcW w:w="734" w:type="dxa"/>
            <w:vMerge w:val="continue"/>
          </w:tcPr>
          <w:p>
            <w:pPr>
              <w:spacing w:line="360" w:lineRule="exact"/>
              <w:rPr>
                <w:rFonts w:cs="Times New Roman" w:asciiTheme="minorEastAsia" w:hAnsiTheme="minorEastAsia" w:eastAsiaTheme="minorEastAsia"/>
                <w:kern w:val="0"/>
                <w:sz w:val="24"/>
                <w:szCs w:val="24"/>
              </w:rPr>
            </w:pPr>
          </w:p>
        </w:tc>
        <w:tc>
          <w:tcPr>
            <w:tcW w:w="586" w:type="dxa"/>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商业企业</w:t>
            </w:r>
          </w:p>
        </w:tc>
        <w:tc>
          <w:tcPr>
            <w:tcW w:w="586" w:type="dxa"/>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科研机构</w:t>
            </w:r>
          </w:p>
        </w:tc>
        <w:tc>
          <w:tcPr>
            <w:tcW w:w="587" w:type="dxa"/>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社会公益组织</w:t>
            </w:r>
          </w:p>
        </w:tc>
        <w:tc>
          <w:tcPr>
            <w:tcW w:w="586" w:type="dxa"/>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法律服务机构</w:t>
            </w:r>
          </w:p>
        </w:tc>
        <w:tc>
          <w:tcPr>
            <w:tcW w:w="592" w:type="dxa"/>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其他</w:t>
            </w:r>
          </w:p>
        </w:tc>
        <w:tc>
          <w:tcPr>
            <w:tcW w:w="584" w:type="dxa"/>
            <w:vMerge w:val="continue"/>
          </w:tcPr>
          <w:p>
            <w:pPr>
              <w:spacing w:line="56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3970" w:type="dxa"/>
            <w:gridSpan w:val="3"/>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一、本年新收政府信息公开申请数量</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970" w:type="dxa"/>
            <w:gridSpan w:val="3"/>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二、上年结转政府信息公开申请数量</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06" w:type="dxa"/>
            <w:vMerge w:val="restart"/>
            <w:textDirection w:val="tbRlV"/>
          </w:tcPr>
          <w:p>
            <w:pPr>
              <w:spacing w:line="560" w:lineRule="exact"/>
              <w:ind w:left="113" w:right="113"/>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三、本年度办理结果</w:t>
            </w:r>
          </w:p>
        </w:tc>
        <w:tc>
          <w:tcPr>
            <w:tcW w:w="3464" w:type="dxa"/>
            <w:gridSpan w:val="2"/>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（一）予以公开</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3464" w:type="dxa"/>
            <w:gridSpan w:val="2"/>
          </w:tcPr>
          <w:p>
            <w:pPr>
              <w:spacing w:line="3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（二）部分公开（区分处理的，只计这一情形，不计其他情形）</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1230" w:type="dxa"/>
            <w:vMerge w:val="restart"/>
          </w:tcPr>
          <w:p>
            <w:pPr>
              <w:spacing w:line="560" w:lineRule="exact"/>
              <w:jc w:val="center"/>
              <w:rPr>
                <w:rFonts w:cs="Times New Roman" w:asciiTheme="minorEastAsia" w:hAnsiTheme="minorEastAsia" w:eastAsiaTheme="minorEastAsia"/>
                <w:spacing w:val="-6"/>
                <w:kern w:val="0"/>
                <w:sz w:val="24"/>
                <w:szCs w:val="24"/>
              </w:rPr>
            </w:pPr>
            <w:r>
              <w:rPr>
                <w:rFonts w:hint="eastAsia" w:cs="Times New Roman" w:asciiTheme="minorEastAsia" w:hAnsiTheme="minorEastAsia" w:eastAsiaTheme="minorEastAsia"/>
                <w:spacing w:val="-6"/>
                <w:kern w:val="0"/>
                <w:sz w:val="24"/>
                <w:szCs w:val="24"/>
              </w:rPr>
              <w:t>（三）不予公开</w:t>
            </w:r>
          </w:p>
        </w:tc>
        <w:tc>
          <w:tcPr>
            <w:tcW w:w="2234"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1.属于国家秘密</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1230" w:type="dxa"/>
            <w:vMerge w:val="continue"/>
          </w:tcPr>
          <w:p>
            <w:pPr>
              <w:spacing w:line="560" w:lineRule="exact"/>
              <w:jc w:val="center"/>
              <w:rPr>
                <w:rFonts w:cs="Times New Roman" w:asciiTheme="minorEastAsia" w:hAnsiTheme="minorEastAsia" w:eastAsiaTheme="minorEastAsia"/>
                <w:kern w:val="0"/>
                <w:sz w:val="24"/>
                <w:szCs w:val="24"/>
              </w:rPr>
            </w:pPr>
          </w:p>
        </w:tc>
        <w:tc>
          <w:tcPr>
            <w:tcW w:w="2234" w:type="dxa"/>
          </w:tcPr>
          <w:p>
            <w:pPr>
              <w:spacing w:line="560" w:lineRule="exact"/>
              <w:rPr>
                <w:rFonts w:cs="Times New Roman" w:asciiTheme="minorEastAsia" w:hAnsiTheme="minorEastAsia" w:eastAsiaTheme="minorEastAsia"/>
                <w:spacing w:val="-16"/>
                <w:kern w:val="0"/>
                <w:sz w:val="24"/>
                <w:szCs w:val="24"/>
              </w:rPr>
            </w:pPr>
            <w:r>
              <w:rPr>
                <w:rFonts w:hint="eastAsia" w:cs="Times New Roman" w:asciiTheme="minorEastAsia" w:hAnsiTheme="minorEastAsia" w:eastAsiaTheme="minorEastAsia"/>
                <w:spacing w:val="-16"/>
                <w:kern w:val="0"/>
                <w:sz w:val="24"/>
                <w:szCs w:val="24"/>
              </w:rPr>
              <w:t>2.其他法律行政法规禁止公开</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1230" w:type="dxa"/>
            <w:vMerge w:val="continue"/>
          </w:tcPr>
          <w:p>
            <w:pPr>
              <w:spacing w:line="560" w:lineRule="exact"/>
              <w:jc w:val="center"/>
              <w:rPr>
                <w:rFonts w:cs="Times New Roman" w:asciiTheme="minorEastAsia" w:hAnsiTheme="minorEastAsia" w:eastAsiaTheme="minorEastAsia"/>
                <w:kern w:val="0"/>
                <w:sz w:val="24"/>
                <w:szCs w:val="24"/>
              </w:rPr>
            </w:pPr>
          </w:p>
        </w:tc>
        <w:tc>
          <w:tcPr>
            <w:tcW w:w="2234"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3.危及“三安全一稳定”</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1230" w:type="dxa"/>
            <w:vMerge w:val="continue"/>
          </w:tcPr>
          <w:p>
            <w:pPr>
              <w:spacing w:line="560" w:lineRule="exact"/>
              <w:jc w:val="center"/>
              <w:rPr>
                <w:rFonts w:cs="Times New Roman" w:asciiTheme="minorEastAsia" w:hAnsiTheme="minorEastAsia" w:eastAsiaTheme="minorEastAsia"/>
                <w:kern w:val="0"/>
                <w:sz w:val="24"/>
                <w:szCs w:val="24"/>
              </w:rPr>
            </w:pPr>
          </w:p>
        </w:tc>
        <w:tc>
          <w:tcPr>
            <w:tcW w:w="2234"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4.保护第三方合法权益</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1230" w:type="dxa"/>
            <w:vMerge w:val="continue"/>
          </w:tcPr>
          <w:p>
            <w:pPr>
              <w:spacing w:line="560" w:lineRule="exact"/>
              <w:jc w:val="center"/>
              <w:rPr>
                <w:rFonts w:cs="Times New Roman" w:asciiTheme="minorEastAsia" w:hAnsiTheme="minorEastAsia" w:eastAsiaTheme="minorEastAsia"/>
                <w:kern w:val="0"/>
                <w:sz w:val="24"/>
                <w:szCs w:val="24"/>
              </w:rPr>
            </w:pPr>
          </w:p>
        </w:tc>
        <w:tc>
          <w:tcPr>
            <w:tcW w:w="2234"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5.属于三类内部事务信息</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1230" w:type="dxa"/>
            <w:vMerge w:val="continue"/>
          </w:tcPr>
          <w:p>
            <w:pPr>
              <w:spacing w:line="560" w:lineRule="exact"/>
              <w:jc w:val="center"/>
              <w:rPr>
                <w:rFonts w:cs="Times New Roman" w:asciiTheme="minorEastAsia" w:hAnsiTheme="minorEastAsia" w:eastAsiaTheme="minorEastAsia"/>
                <w:kern w:val="0"/>
                <w:sz w:val="24"/>
                <w:szCs w:val="24"/>
              </w:rPr>
            </w:pPr>
          </w:p>
        </w:tc>
        <w:tc>
          <w:tcPr>
            <w:tcW w:w="2234"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6.属于四类过程性信息</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1230" w:type="dxa"/>
            <w:vMerge w:val="continue"/>
          </w:tcPr>
          <w:p>
            <w:pPr>
              <w:spacing w:line="560" w:lineRule="exact"/>
              <w:jc w:val="center"/>
              <w:rPr>
                <w:rFonts w:cs="Times New Roman" w:asciiTheme="minorEastAsia" w:hAnsiTheme="minorEastAsia" w:eastAsiaTheme="minorEastAsia"/>
                <w:kern w:val="0"/>
                <w:sz w:val="24"/>
                <w:szCs w:val="24"/>
              </w:rPr>
            </w:pPr>
          </w:p>
        </w:tc>
        <w:tc>
          <w:tcPr>
            <w:tcW w:w="2234"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7.属于行政执法案卷</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1230" w:type="dxa"/>
            <w:vMerge w:val="continue"/>
          </w:tcPr>
          <w:p>
            <w:pPr>
              <w:spacing w:line="560" w:lineRule="exact"/>
              <w:jc w:val="center"/>
              <w:rPr>
                <w:rFonts w:cs="Times New Roman" w:asciiTheme="minorEastAsia" w:hAnsiTheme="minorEastAsia" w:eastAsiaTheme="minorEastAsia"/>
                <w:kern w:val="0"/>
                <w:sz w:val="24"/>
                <w:szCs w:val="24"/>
              </w:rPr>
            </w:pPr>
          </w:p>
        </w:tc>
        <w:tc>
          <w:tcPr>
            <w:tcW w:w="2234"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8.属于行政查询事项</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1230" w:type="dxa"/>
            <w:vMerge w:val="restart"/>
          </w:tcPr>
          <w:p>
            <w:pPr>
              <w:spacing w:line="560" w:lineRule="exact"/>
              <w:jc w:val="center"/>
              <w:rPr>
                <w:rFonts w:cs="Times New Roman" w:asciiTheme="minorEastAsia" w:hAnsiTheme="minorEastAsia" w:eastAsiaTheme="minorEastAsia"/>
                <w:spacing w:val="-6"/>
                <w:kern w:val="0"/>
                <w:sz w:val="24"/>
                <w:szCs w:val="24"/>
              </w:rPr>
            </w:pPr>
            <w:r>
              <w:rPr>
                <w:rFonts w:hint="eastAsia" w:cs="Times New Roman" w:asciiTheme="minorEastAsia" w:hAnsiTheme="minorEastAsia" w:eastAsiaTheme="minorEastAsia"/>
                <w:spacing w:val="-6"/>
                <w:kern w:val="0"/>
                <w:sz w:val="24"/>
                <w:szCs w:val="24"/>
              </w:rPr>
              <w:t>（四）无法提供</w:t>
            </w:r>
          </w:p>
        </w:tc>
        <w:tc>
          <w:tcPr>
            <w:tcW w:w="2234" w:type="dxa"/>
          </w:tcPr>
          <w:p>
            <w:pPr>
              <w:spacing w:line="560" w:lineRule="exact"/>
              <w:rPr>
                <w:rFonts w:cs="Times New Roman" w:asciiTheme="minorEastAsia" w:hAnsiTheme="minorEastAsia" w:eastAsiaTheme="minorEastAsia"/>
                <w:spacing w:val="-14"/>
                <w:kern w:val="0"/>
                <w:sz w:val="24"/>
                <w:szCs w:val="24"/>
              </w:rPr>
            </w:pPr>
            <w:r>
              <w:rPr>
                <w:rFonts w:hint="eastAsia" w:cs="Times New Roman" w:asciiTheme="minorEastAsia" w:hAnsiTheme="minorEastAsia" w:eastAsiaTheme="minorEastAsia"/>
                <w:spacing w:val="-14"/>
                <w:kern w:val="0"/>
                <w:sz w:val="24"/>
                <w:szCs w:val="24"/>
              </w:rPr>
              <w:t>1.本机关不掌握相关政府信息</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1230" w:type="dxa"/>
            <w:vMerge w:val="continue"/>
          </w:tcPr>
          <w:p>
            <w:pPr>
              <w:spacing w:line="560" w:lineRule="exact"/>
              <w:rPr>
                <w:rFonts w:cs="Times New Roman" w:asciiTheme="minorEastAsia" w:hAnsiTheme="minorEastAsia" w:eastAsiaTheme="minorEastAsia"/>
                <w:kern w:val="0"/>
                <w:sz w:val="24"/>
                <w:szCs w:val="24"/>
              </w:rPr>
            </w:pPr>
          </w:p>
        </w:tc>
        <w:tc>
          <w:tcPr>
            <w:tcW w:w="2234" w:type="dxa"/>
          </w:tcPr>
          <w:p>
            <w:pPr>
              <w:spacing w:line="560" w:lineRule="exact"/>
              <w:rPr>
                <w:rFonts w:cs="Times New Roman" w:asciiTheme="minorEastAsia" w:hAnsiTheme="minorEastAsia" w:eastAsiaTheme="minorEastAsia"/>
                <w:spacing w:val="-14"/>
                <w:kern w:val="0"/>
                <w:sz w:val="24"/>
                <w:szCs w:val="24"/>
              </w:rPr>
            </w:pPr>
            <w:r>
              <w:rPr>
                <w:rFonts w:hint="eastAsia" w:cs="Times New Roman" w:asciiTheme="minorEastAsia" w:hAnsiTheme="minorEastAsia" w:eastAsiaTheme="minorEastAsia"/>
                <w:spacing w:val="-14"/>
                <w:kern w:val="0"/>
                <w:sz w:val="24"/>
                <w:szCs w:val="24"/>
              </w:rPr>
              <w:t>2.没有现成信息需要另行制作</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1230" w:type="dxa"/>
            <w:vMerge w:val="continue"/>
          </w:tcPr>
          <w:p>
            <w:pPr>
              <w:spacing w:line="560" w:lineRule="exact"/>
              <w:rPr>
                <w:rFonts w:cs="Times New Roman" w:asciiTheme="minorEastAsia" w:hAnsiTheme="minorEastAsia" w:eastAsiaTheme="minorEastAsia"/>
                <w:kern w:val="0"/>
                <w:sz w:val="24"/>
                <w:szCs w:val="24"/>
              </w:rPr>
            </w:pPr>
          </w:p>
        </w:tc>
        <w:tc>
          <w:tcPr>
            <w:tcW w:w="2234"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3.补正后申请内容仍不明确</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1230" w:type="dxa"/>
            <w:vMerge w:val="restart"/>
          </w:tcPr>
          <w:p>
            <w:pPr>
              <w:spacing w:line="560" w:lineRule="exact"/>
              <w:jc w:val="center"/>
              <w:rPr>
                <w:rFonts w:cs="Times New Roman" w:asciiTheme="minorEastAsia" w:hAnsiTheme="minorEastAsia" w:eastAsiaTheme="minorEastAsia"/>
                <w:spacing w:val="-6"/>
                <w:kern w:val="0"/>
                <w:sz w:val="24"/>
                <w:szCs w:val="24"/>
              </w:rPr>
            </w:pPr>
            <w:r>
              <w:rPr>
                <w:rFonts w:hint="eastAsia" w:cs="Times New Roman" w:asciiTheme="minorEastAsia" w:hAnsiTheme="minorEastAsia" w:eastAsiaTheme="minorEastAsia"/>
                <w:spacing w:val="-6"/>
                <w:kern w:val="0"/>
                <w:sz w:val="24"/>
                <w:szCs w:val="24"/>
              </w:rPr>
              <w:t>（五）不予处理</w:t>
            </w:r>
          </w:p>
        </w:tc>
        <w:tc>
          <w:tcPr>
            <w:tcW w:w="2234"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1.信访举报投诉类申请</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1230" w:type="dxa"/>
            <w:vMerge w:val="continue"/>
          </w:tcPr>
          <w:p>
            <w:pPr>
              <w:spacing w:line="560" w:lineRule="exact"/>
              <w:rPr>
                <w:rFonts w:cs="Times New Roman" w:asciiTheme="minorEastAsia" w:hAnsiTheme="minorEastAsia" w:eastAsiaTheme="minorEastAsia"/>
                <w:kern w:val="0"/>
                <w:sz w:val="24"/>
                <w:szCs w:val="24"/>
              </w:rPr>
            </w:pPr>
          </w:p>
        </w:tc>
        <w:tc>
          <w:tcPr>
            <w:tcW w:w="2234"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2.重复申请</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1230" w:type="dxa"/>
            <w:vMerge w:val="continue"/>
          </w:tcPr>
          <w:p>
            <w:pPr>
              <w:spacing w:line="560" w:lineRule="exact"/>
              <w:rPr>
                <w:rFonts w:cs="Times New Roman" w:asciiTheme="minorEastAsia" w:hAnsiTheme="minorEastAsia" w:eastAsiaTheme="minorEastAsia"/>
                <w:kern w:val="0"/>
                <w:sz w:val="24"/>
                <w:szCs w:val="24"/>
              </w:rPr>
            </w:pPr>
          </w:p>
        </w:tc>
        <w:tc>
          <w:tcPr>
            <w:tcW w:w="2234"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3.要求提供公开出版物</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1230" w:type="dxa"/>
            <w:vMerge w:val="continue"/>
          </w:tcPr>
          <w:p>
            <w:pPr>
              <w:spacing w:line="560" w:lineRule="exact"/>
              <w:rPr>
                <w:rFonts w:cs="Times New Roman" w:asciiTheme="minorEastAsia" w:hAnsiTheme="minorEastAsia" w:eastAsiaTheme="minorEastAsia"/>
                <w:kern w:val="0"/>
                <w:sz w:val="24"/>
                <w:szCs w:val="24"/>
              </w:rPr>
            </w:pPr>
          </w:p>
        </w:tc>
        <w:tc>
          <w:tcPr>
            <w:tcW w:w="2234" w:type="dxa"/>
          </w:tcPr>
          <w:p>
            <w:pPr>
              <w:spacing w:line="560" w:lineRule="exact"/>
              <w:rPr>
                <w:rFonts w:cs="Times New Roman" w:asciiTheme="minorEastAsia" w:hAnsiTheme="minorEastAsia" w:eastAsiaTheme="minorEastAsia"/>
                <w:spacing w:val="-8"/>
                <w:kern w:val="0"/>
                <w:sz w:val="24"/>
                <w:szCs w:val="24"/>
              </w:rPr>
            </w:pPr>
            <w:r>
              <w:rPr>
                <w:rFonts w:hint="eastAsia" w:cs="Times New Roman" w:asciiTheme="minorEastAsia" w:hAnsiTheme="minorEastAsia" w:eastAsiaTheme="minorEastAsia"/>
                <w:spacing w:val="-8"/>
                <w:kern w:val="0"/>
                <w:sz w:val="24"/>
                <w:szCs w:val="24"/>
              </w:rPr>
              <w:t>4.无正当理由大量反复申请</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1230" w:type="dxa"/>
            <w:vMerge w:val="continue"/>
          </w:tcPr>
          <w:p>
            <w:pPr>
              <w:spacing w:line="560" w:lineRule="exact"/>
              <w:rPr>
                <w:rFonts w:cs="Times New Roman" w:asciiTheme="minorEastAsia" w:hAnsiTheme="minorEastAsia" w:eastAsiaTheme="minorEastAsia"/>
                <w:kern w:val="0"/>
                <w:sz w:val="24"/>
                <w:szCs w:val="24"/>
              </w:rPr>
            </w:pPr>
          </w:p>
        </w:tc>
        <w:tc>
          <w:tcPr>
            <w:tcW w:w="2234"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5.要求行政机关确认或重新出具已获取信息</w:t>
            </w:r>
          </w:p>
        </w:tc>
        <w:tc>
          <w:tcPr>
            <w:tcW w:w="73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3464" w:type="dxa"/>
            <w:gridSpan w:val="2"/>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（六）其他处理</w:t>
            </w:r>
          </w:p>
        </w:tc>
        <w:tc>
          <w:tcPr>
            <w:tcW w:w="734"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06" w:type="dxa"/>
            <w:vMerge w:val="continue"/>
          </w:tcPr>
          <w:p>
            <w:pPr>
              <w:spacing w:line="560" w:lineRule="exact"/>
              <w:rPr>
                <w:rFonts w:cs="Times New Roman" w:asciiTheme="minorEastAsia" w:hAnsiTheme="minorEastAsia" w:eastAsiaTheme="minorEastAsia"/>
                <w:kern w:val="0"/>
                <w:sz w:val="24"/>
                <w:szCs w:val="24"/>
              </w:rPr>
            </w:pPr>
          </w:p>
        </w:tc>
        <w:tc>
          <w:tcPr>
            <w:tcW w:w="3464" w:type="dxa"/>
            <w:gridSpan w:val="2"/>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（七）总计</w:t>
            </w:r>
          </w:p>
        </w:tc>
        <w:tc>
          <w:tcPr>
            <w:tcW w:w="734"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970" w:type="dxa"/>
            <w:gridSpan w:val="3"/>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四、结转下年度继续办理</w:t>
            </w:r>
          </w:p>
        </w:tc>
        <w:tc>
          <w:tcPr>
            <w:tcW w:w="734"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7"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6"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92"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84" w:type="dxa"/>
          </w:tcPr>
          <w:p>
            <w:pPr>
              <w:spacing w:line="56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bl>
    <w:p>
      <w:pPr>
        <w:spacing w:line="560" w:lineRule="exact"/>
        <w:ind w:firstLine="600" w:firstLineChars="250"/>
        <w:rPr>
          <w:rFonts w:ascii="黑体" w:hAnsi="黑体" w:eastAsia="黑体"/>
          <w:sz w:val="24"/>
          <w:szCs w:val="24"/>
        </w:rPr>
      </w:pPr>
      <w:r>
        <w:rPr>
          <w:rFonts w:hint="eastAsia" w:ascii="黑体" w:hAnsi="黑体" w:eastAsia="黑体"/>
          <w:sz w:val="24"/>
          <w:szCs w:val="24"/>
        </w:rPr>
        <w:t>四、政府信息公开行政复议、行政诉讼情况</w:t>
      </w:r>
    </w:p>
    <w:tbl>
      <w:tblPr>
        <w:tblStyle w:val="6"/>
        <w:tblW w:w="8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545"/>
        <w:gridCol w:w="545"/>
        <w:gridCol w:w="545"/>
        <w:gridCol w:w="545"/>
        <w:gridCol w:w="545"/>
        <w:gridCol w:w="545"/>
        <w:gridCol w:w="545"/>
        <w:gridCol w:w="545"/>
        <w:gridCol w:w="545"/>
        <w:gridCol w:w="545"/>
        <w:gridCol w:w="545"/>
        <w:gridCol w:w="545"/>
        <w:gridCol w:w="545"/>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725" w:type="dxa"/>
            <w:gridSpan w:val="5"/>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行政复议</w:t>
            </w:r>
          </w:p>
        </w:tc>
        <w:tc>
          <w:tcPr>
            <w:tcW w:w="5450" w:type="dxa"/>
            <w:gridSpan w:val="10"/>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45" w:type="dxa"/>
            <w:vMerge w:val="restart"/>
            <w:vAlign w:val="center"/>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结果维持</w:t>
            </w:r>
          </w:p>
        </w:tc>
        <w:tc>
          <w:tcPr>
            <w:tcW w:w="545" w:type="dxa"/>
            <w:vMerge w:val="restart"/>
            <w:vAlign w:val="center"/>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结果纠正</w:t>
            </w:r>
          </w:p>
        </w:tc>
        <w:tc>
          <w:tcPr>
            <w:tcW w:w="545" w:type="dxa"/>
            <w:vMerge w:val="restart"/>
            <w:vAlign w:val="center"/>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其他结果</w:t>
            </w:r>
          </w:p>
        </w:tc>
        <w:tc>
          <w:tcPr>
            <w:tcW w:w="545" w:type="dxa"/>
            <w:vMerge w:val="restart"/>
            <w:vAlign w:val="center"/>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尚未审结</w:t>
            </w:r>
          </w:p>
        </w:tc>
        <w:tc>
          <w:tcPr>
            <w:tcW w:w="545" w:type="dxa"/>
            <w:vMerge w:val="restart"/>
            <w:vAlign w:val="center"/>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总</w:t>
            </w:r>
          </w:p>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计</w:t>
            </w:r>
          </w:p>
        </w:tc>
        <w:tc>
          <w:tcPr>
            <w:tcW w:w="2725" w:type="dxa"/>
            <w:gridSpan w:val="5"/>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未经复议直接起诉</w:t>
            </w:r>
          </w:p>
        </w:tc>
        <w:tc>
          <w:tcPr>
            <w:tcW w:w="2725" w:type="dxa"/>
            <w:gridSpan w:val="5"/>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545" w:type="dxa"/>
            <w:vMerge w:val="continue"/>
            <w:vAlign w:val="center"/>
          </w:tcPr>
          <w:p>
            <w:pPr>
              <w:spacing w:line="560" w:lineRule="exact"/>
              <w:jc w:val="center"/>
              <w:rPr>
                <w:rFonts w:cs="Times New Roman" w:asciiTheme="minorEastAsia" w:hAnsiTheme="minorEastAsia" w:eastAsiaTheme="minorEastAsia"/>
                <w:kern w:val="0"/>
                <w:sz w:val="24"/>
                <w:szCs w:val="24"/>
              </w:rPr>
            </w:pPr>
          </w:p>
        </w:tc>
        <w:tc>
          <w:tcPr>
            <w:tcW w:w="545" w:type="dxa"/>
            <w:vMerge w:val="continue"/>
            <w:vAlign w:val="center"/>
          </w:tcPr>
          <w:p>
            <w:pPr>
              <w:spacing w:line="560" w:lineRule="exact"/>
              <w:jc w:val="center"/>
              <w:rPr>
                <w:rFonts w:cs="Times New Roman" w:asciiTheme="minorEastAsia" w:hAnsiTheme="minorEastAsia" w:eastAsiaTheme="minorEastAsia"/>
                <w:kern w:val="0"/>
                <w:sz w:val="24"/>
                <w:szCs w:val="24"/>
              </w:rPr>
            </w:pPr>
          </w:p>
        </w:tc>
        <w:tc>
          <w:tcPr>
            <w:tcW w:w="545" w:type="dxa"/>
            <w:vMerge w:val="continue"/>
            <w:vAlign w:val="center"/>
          </w:tcPr>
          <w:p>
            <w:pPr>
              <w:spacing w:line="560" w:lineRule="exact"/>
              <w:jc w:val="center"/>
              <w:rPr>
                <w:rFonts w:cs="Times New Roman" w:asciiTheme="minorEastAsia" w:hAnsiTheme="minorEastAsia" w:eastAsiaTheme="minorEastAsia"/>
                <w:kern w:val="0"/>
                <w:sz w:val="24"/>
                <w:szCs w:val="24"/>
              </w:rPr>
            </w:pPr>
          </w:p>
        </w:tc>
        <w:tc>
          <w:tcPr>
            <w:tcW w:w="545" w:type="dxa"/>
            <w:vMerge w:val="continue"/>
            <w:vAlign w:val="center"/>
          </w:tcPr>
          <w:p>
            <w:pPr>
              <w:spacing w:line="560" w:lineRule="exact"/>
              <w:jc w:val="center"/>
              <w:rPr>
                <w:rFonts w:cs="Times New Roman" w:asciiTheme="minorEastAsia" w:hAnsiTheme="minorEastAsia" w:eastAsiaTheme="minorEastAsia"/>
                <w:kern w:val="0"/>
                <w:sz w:val="24"/>
                <w:szCs w:val="24"/>
              </w:rPr>
            </w:pPr>
          </w:p>
        </w:tc>
        <w:tc>
          <w:tcPr>
            <w:tcW w:w="545" w:type="dxa"/>
            <w:vMerge w:val="continue"/>
            <w:vAlign w:val="center"/>
          </w:tcPr>
          <w:p>
            <w:pPr>
              <w:spacing w:line="560" w:lineRule="exact"/>
              <w:jc w:val="center"/>
              <w:rPr>
                <w:rFonts w:cs="Times New Roman" w:asciiTheme="minorEastAsia" w:hAnsiTheme="minorEastAsia" w:eastAsiaTheme="minorEastAsia"/>
                <w:kern w:val="0"/>
                <w:sz w:val="24"/>
                <w:szCs w:val="24"/>
              </w:rPr>
            </w:pPr>
          </w:p>
        </w:tc>
        <w:tc>
          <w:tcPr>
            <w:tcW w:w="545" w:type="dxa"/>
            <w:vAlign w:val="center"/>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结果维持</w:t>
            </w:r>
          </w:p>
        </w:tc>
        <w:tc>
          <w:tcPr>
            <w:tcW w:w="545" w:type="dxa"/>
            <w:vAlign w:val="center"/>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结果纠正</w:t>
            </w:r>
          </w:p>
        </w:tc>
        <w:tc>
          <w:tcPr>
            <w:tcW w:w="545" w:type="dxa"/>
            <w:vAlign w:val="center"/>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其他结果</w:t>
            </w:r>
          </w:p>
        </w:tc>
        <w:tc>
          <w:tcPr>
            <w:tcW w:w="545" w:type="dxa"/>
            <w:vAlign w:val="center"/>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尚未审结</w:t>
            </w:r>
          </w:p>
        </w:tc>
        <w:tc>
          <w:tcPr>
            <w:tcW w:w="545" w:type="dxa"/>
            <w:vAlign w:val="center"/>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总</w:t>
            </w:r>
          </w:p>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计</w:t>
            </w:r>
          </w:p>
        </w:tc>
        <w:tc>
          <w:tcPr>
            <w:tcW w:w="545" w:type="dxa"/>
            <w:vAlign w:val="center"/>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结果维持</w:t>
            </w:r>
          </w:p>
        </w:tc>
        <w:tc>
          <w:tcPr>
            <w:tcW w:w="545" w:type="dxa"/>
            <w:vAlign w:val="center"/>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结果纠正</w:t>
            </w:r>
          </w:p>
        </w:tc>
        <w:tc>
          <w:tcPr>
            <w:tcW w:w="545" w:type="dxa"/>
            <w:vAlign w:val="center"/>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其他结果</w:t>
            </w:r>
          </w:p>
        </w:tc>
        <w:tc>
          <w:tcPr>
            <w:tcW w:w="545" w:type="dxa"/>
            <w:vAlign w:val="center"/>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尚未审结</w:t>
            </w:r>
          </w:p>
        </w:tc>
        <w:tc>
          <w:tcPr>
            <w:tcW w:w="545" w:type="dxa"/>
            <w:vAlign w:val="center"/>
          </w:tcPr>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总</w:t>
            </w:r>
          </w:p>
          <w:p>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45"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45"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45"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45"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45"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45"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45"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45"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45"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45"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45"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45"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45"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45"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c>
          <w:tcPr>
            <w:tcW w:w="545" w:type="dxa"/>
            <w:vAlign w:val="center"/>
          </w:tcPr>
          <w:p>
            <w:pPr>
              <w:spacing w:line="5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0</w:t>
            </w:r>
          </w:p>
        </w:tc>
      </w:tr>
    </w:tbl>
    <w:p>
      <w:pPr>
        <w:widowControl/>
        <w:shd w:val="clear" w:color="auto" w:fill="FFFFFF"/>
        <w:ind w:firstLine="422" w:firstLineChars="200"/>
        <w:rPr>
          <w:rFonts w:ascii="宋体" w:hAnsi="宋体" w:eastAsia="宋体" w:cs="宋体"/>
          <w:b/>
          <w:bCs/>
          <w:color w:val="000000" w:themeColor="text1"/>
          <w:kern w:val="0"/>
          <w:szCs w:val="21"/>
        </w:rPr>
      </w:pPr>
    </w:p>
    <w:p>
      <w:pPr>
        <w:widowControl/>
        <w:shd w:val="clear" w:color="auto" w:fill="FFFFFF"/>
        <w:spacing w:line="460" w:lineRule="exact"/>
        <w:ind w:firstLine="482" w:firstLineChars="200"/>
        <w:rPr>
          <w:rFonts w:ascii="微软雅黑" w:hAnsi="微软雅黑" w:eastAsia="微软雅黑" w:cs="宋体"/>
          <w:color w:val="000000"/>
          <w:kern w:val="0"/>
          <w:sz w:val="24"/>
          <w:szCs w:val="24"/>
        </w:rPr>
      </w:pPr>
      <w:r>
        <w:rPr>
          <w:rFonts w:hint="eastAsia" w:ascii="宋体" w:hAnsi="宋体" w:eastAsia="宋体" w:cs="宋体"/>
          <w:b/>
          <w:bCs/>
          <w:color w:val="333333"/>
          <w:kern w:val="0"/>
          <w:sz w:val="24"/>
          <w:szCs w:val="24"/>
        </w:rPr>
        <w:t>五、存在的主要问题及改进情况</w:t>
      </w:r>
    </w:p>
    <w:p>
      <w:pPr>
        <w:widowControl/>
        <w:spacing w:line="460" w:lineRule="exact"/>
        <w:ind w:firstLine="480" w:firstLineChars="200"/>
        <w:jc w:val="left"/>
        <w:rPr>
          <w:rFonts w:ascii="宋体" w:hAnsi="宋体"/>
          <w:color w:val="000000" w:themeColor="text1"/>
          <w:kern w:val="0"/>
          <w:sz w:val="24"/>
          <w:szCs w:val="24"/>
        </w:rPr>
      </w:pPr>
      <w:r>
        <w:rPr>
          <w:rFonts w:hint="eastAsia" w:ascii="宋体" w:hAnsi="宋体"/>
          <w:color w:val="000000" w:themeColor="text1"/>
          <w:kern w:val="0"/>
          <w:sz w:val="24"/>
          <w:szCs w:val="24"/>
        </w:rPr>
        <w:t>存在的主要问题：一是</w:t>
      </w:r>
      <w:r>
        <w:rPr>
          <w:rFonts w:hint="eastAsia" w:ascii="宋体" w:hAnsi="宋体"/>
          <w:color w:val="000000" w:themeColor="text1"/>
          <w:kern w:val="0"/>
          <w:sz w:val="24"/>
          <w:szCs w:val="24"/>
          <w:lang w:eastAsia="zh-CN"/>
        </w:rPr>
        <w:t>信息公开渠道不够广泛，形式不够丰富</w:t>
      </w:r>
      <w:r>
        <w:rPr>
          <w:rFonts w:hint="eastAsia" w:ascii="宋体" w:hAnsi="宋体"/>
          <w:color w:val="000000" w:themeColor="text1"/>
          <w:kern w:val="0"/>
          <w:sz w:val="24"/>
          <w:szCs w:val="24"/>
        </w:rPr>
        <w:t>。二是</w:t>
      </w:r>
      <w:r>
        <w:rPr>
          <w:rFonts w:hint="eastAsia" w:ascii="宋体" w:hAnsi="宋体"/>
          <w:color w:val="000000" w:themeColor="text1"/>
          <w:kern w:val="0"/>
          <w:sz w:val="24"/>
          <w:szCs w:val="24"/>
          <w:lang w:eastAsia="zh-CN"/>
        </w:rPr>
        <w:t>信息互动方面还有待提高</w:t>
      </w:r>
      <w:r>
        <w:rPr>
          <w:rFonts w:hint="eastAsia" w:ascii="宋体" w:hAnsi="宋体"/>
          <w:color w:val="000000" w:themeColor="text1"/>
          <w:kern w:val="0"/>
          <w:sz w:val="24"/>
          <w:szCs w:val="24"/>
        </w:rPr>
        <w:t>。</w:t>
      </w:r>
    </w:p>
    <w:p>
      <w:pPr>
        <w:widowControl/>
        <w:spacing w:line="460" w:lineRule="exact"/>
        <w:jc w:val="left"/>
        <w:rPr>
          <w:rFonts w:ascii="宋体" w:hAnsi="宋体"/>
          <w:color w:val="333333"/>
          <w:kern w:val="0"/>
          <w:sz w:val="24"/>
          <w:szCs w:val="24"/>
        </w:rPr>
      </w:pPr>
      <w:r>
        <w:rPr>
          <w:rFonts w:hint="eastAsia" w:ascii="宋体" w:hAnsi="宋体"/>
          <w:color w:val="000000" w:themeColor="text1"/>
          <w:kern w:val="0"/>
          <w:sz w:val="24"/>
          <w:szCs w:val="24"/>
        </w:rPr>
        <w:t xml:space="preserve">    </w:t>
      </w:r>
      <w:r>
        <w:rPr>
          <w:rFonts w:hint="eastAsia" w:ascii="宋体" w:hAnsi="宋体"/>
          <w:color w:val="000000" w:themeColor="text1"/>
          <w:kern w:val="0"/>
          <w:sz w:val="24"/>
          <w:szCs w:val="24"/>
          <w:lang w:eastAsia="zh-CN"/>
        </w:rPr>
        <w:t>改进情况：一是拓宽信息公开渠道，继续通过报纸、网络等多渠道对我市科技创新方面的工作进行广泛、深入的宣传和报道。二是</w:t>
      </w:r>
      <w:r>
        <w:rPr>
          <w:rFonts w:hint="eastAsia" w:ascii="宋体" w:hAnsi="宋体"/>
          <w:color w:val="000000" w:themeColor="text1"/>
          <w:kern w:val="0"/>
          <w:sz w:val="24"/>
          <w:szCs w:val="24"/>
        </w:rPr>
        <w:t>不断提高政务公开工作水平，</w:t>
      </w:r>
      <w:r>
        <w:rPr>
          <w:rFonts w:hint="eastAsia" w:ascii="宋体" w:hAnsi="宋体"/>
          <w:color w:val="000000" w:themeColor="text1"/>
          <w:kern w:val="0"/>
          <w:sz w:val="24"/>
          <w:szCs w:val="24"/>
          <w:lang w:eastAsia="zh-CN"/>
        </w:rPr>
        <w:t>加强依申请公开网上受理等功能，强化与公众的互动交流，畅通群众诉求申请渠道</w:t>
      </w:r>
      <w:r>
        <w:rPr>
          <w:rFonts w:hint="eastAsia" w:ascii="宋体" w:hAnsi="宋体"/>
          <w:color w:val="000000" w:themeColor="text1"/>
          <w:kern w:val="0"/>
          <w:sz w:val="24"/>
          <w:szCs w:val="24"/>
        </w:rPr>
        <w:t>。</w:t>
      </w:r>
    </w:p>
    <w:p>
      <w:pPr>
        <w:widowControl/>
        <w:shd w:val="clear" w:color="auto" w:fill="FFFFFF"/>
        <w:spacing w:line="460" w:lineRule="exact"/>
        <w:ind w:firstLine="384"/>
        <w:jc w:val="left"/>
        <w:rPr>
          <w:rFonts w:ascii="微软雅黑" w:hAnsi="微软雅黑" w:eastAsia="微软雅黑" w:cs="宋体"/>
          <w:color w:val="000000"/>
          <w:kern w:val="0"/>
          <w:sz w:val="24"/>
          <w:szCs w:val="24"/>
        </w:rPr>
      </w:pPr>
      <w:r>
        <w:rPr>
          <w:rFonts w:hint="eastAsia" w:ascii="宋体" w:hAnsi="宋体" w:eastAsia="宋体" w:cs="宋体"/>
          <w:b/>
          <w:bCs/>
          <w:color w:val="333333"/>
          <w:kern w:val="0"/>
          <w:sz w:val="24"/>
          <w:szCs w:val="24"/>
        </w:rPr>
        <w:t>六、其他需要报告的事项</w:t>
      </w:r>
    </w:p>
    <w:p>
      <w:pPr>
        <w:widowControl/>
        <w:shd w:val="clear" w:color="auto" w:fill="FFFFFF"/>
        <w:spacing w:line="460" w:lineRule="exact"/>
        <w:ind w:firstLine="384"/>
        <w:jc w:val="left"/>
        <w:rPr>
          <w:rFonts w:ascii="宋体" w:hAnsi="宋体"/>
          <w:color w:val="000000" w:themeColor="text1"/>
          <w:kern w:val="0"/>
          <w:sz w:val="24"/>
          <w:szCs w:val="24"/>
        </w:rPr>
      </w:pPr>
      <w:r>
        <w:rPr>
          <w:rFonts w:hint="eastAsia" w:ascii="宋体" w:hAnsi="宋体"/>
          <w:color w:val="000000" w:themeColor="text1"/>
          <w:kern w:val="0"/>
          <w:sz w:val="24"/>
          <w:szCs w:val="24"/>
        </w:rPr>
        <w:t>没有需要报告的事项。</w:t>
      </w:r>
    </w:p>
    <w:p>
      <w:pPr>
        <w:widowControl/>
        <w:shd w:val="clear" w:color="auto" w:fill="FFFFFF"/>
        <w:spacing w:line="460" w:lineRule="exact"/>
        <w:ind w:firstLine="384"/>
        <w:jc w:val="left"/>
        <w:rPr>
          <w:rFonts w:ascii="宋体" w:hAnsi="宋体"/>
          <w:color w:val="000000" w:themeColor="text1"/>
          <w:kern w:val="0"/>
          <w:sz w:val="24"/>
          <w:szCs w:val="24"/>
        </w:rPr>
      </w:pPr>
    </w:p>
    <w:p>
      <w:pPr>
        <w:widowControl/>
        <w:shd w:val="clear" w:color="auto" w:fill="FFFFFF"/>
        <w:spacing w:line="312" w:lineRule="atLeast"/>
        <w:ind w:firstLine="384"/>
        <w:jc w:val="left"/>
        <w:rPr>
          <w:rFonts w:ascii="宋体" w:hAnsi="宋体"/>
          <w:color w:val="000000" w:themeColor="text1"/>
          <w:kern w:val="0"/>
          <w:szCs w:val="21"/>
        </w:rPr>
      </w:pPr>
    </w:p>
    <w:p>
      <w:pPr>
        <w:widowControl/>
        <w:shd w:val="clear" w:color="auto" w:fill="FFFFFF"/>
        <w:spacing w:line="300" w:lineRule="exact"/>
        <w:ind w:right="210" w:firstLine="386"/>
        <w:jc w:val="right"/>
        <w:rPr>
          <w:rFonts w:ascii="宋体" w:hAnsi="宋体"/>
          <w:color w:val="000000" w:themeColor="text1"/>
          <w:kern w:val="0"/>
          <w:sz w:val="24"/>
          <w:szCs w:val="24"/>
        </w:rPr>
      </w:pPr>
      <w:r>
        <w:rPr>
          <w:rFonts w:hint="eastAsia" w:ascii="宋体" w:hAnsi="宋体"/>
          <w:color w:val="000000" w:themeColor="text1"/>
          <w:kern w:val="0"/>
          <w:sz w:val="24"/>
          <w:szCs w:val="24"/>
        </w:rPr>
        <w:t>安丘市科技局</w:t>
      </w:r>
    </w:p>
    <w:p>
      <w:pPr>
        <w:widowControl/>
        <w:shd w:val="clear" w:color="auto" w:fill="FFFFFF"/>
        <w:spacing w:line="300" w:lineRule="exact"/>
        <w:ind w:firstLine="386"/>
        <w:jc w:val="right"/>
        <w:rPr>
          <w:rFonts w:ascii="宋体" w:hAnsi="宋体"/>
          <w:color w:val="000000" w:themeColor="text1"/>
          <w:kern w:val="0"/>
          <w:sz w:val="24"/>
          <w:szCs w:val="24"/>
        </w:rPr>
      </w:pPr>
      <w:r>
        <w:rPr>
          <w:rFonts w:hint="eastAsia" w:ascii="宋体" w:hAnsi="宋体"/>
          <w:color w:val="000000" w:themeColor="text1"/>
          <w:kern w:val="0"/>
          <w:sz w:val="24"/>
          <w:szCs w:val="24"/>
        </w:rPr>
        <w:t>2020年1月14日</w:t>
      </w:r>
    </w:p>
    <w:p>
      <w:pPr>
        <w:ind w:firstLine="420"/>
        <w:rPr>
          <w:rFonts w:ascii="宋体" w:hAnsi="宋体"/>
          <w:color w:val="000000" w:themeColor="text1"/>
          <w:kern w:val="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70720"/>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D5816"/>
    <w:multiLevelType w:val="singleLevel"/>
    <w:tmpl w:val="769D5816"/>
    <w:lvl w:ilvl="0" w:tentative="0">
      <w:start w:val="7"/>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5D7A"/>
    <w:rsid w:val="0007789C"/>
    <w:rsid w:val="00155439"/>
    <w:rsid w:val="001A4DF7"/>
    <w:rsid w:val="002758AB"/>
    <w:rsid w:val="002A01F3"/>
    <w:rsid w:val="002E7249"/>
    <w:rsid w:val="003432CE"/>
    <w:rsid w:val="00423FD3"/>
    <w:rsid w:val="004F402A"/>
    <w:rsid w:val="00533F0C"/>
    <w:rsid w:val="006306D7"/>
    <w:rsid w:val="00702B1D"/>
    <w:rsid w:val="00716ED4"/>
    <w:rsid w:val="00776AA5"/>
    <w:rsid w:val="007C4E6E"/>
    <w:rsid w:val="008E6633"/>
    <w:rsid w:val="0092794D"/>
    <w:rsid w:val="009532E5"/>
    <w:rsid w:val="00AA7ED7"/>
    <w:rsid w:val="00B562E7"/>
    <w:rsid w:val="00C6336F"/>
    <w:rsid w:val="00D256DE"/>
    <w:rsid w:val="00E45D7A"/>
    <w:rsid w:val="00E974C7"/>
    <w:rsid w:val="00F536C2"/>
    <w:rsid w:val="077D314A"/>
    <w:rsid w:val="21F06D3D"/>
    <w:rsid w:val="23E7A682"/>
    <w:rsid w:val="25DF8E6A"/>
    <w:rsid w:val="2FDB07F3"/>
    <w:rsid w:val="5FFD74AD"/>
    <w:rsid w:val="760F4274"/>
    <w:rsid w:val="79FBB91B"/>
    <w:rsid w:val="7BB251AC"/>
    <w:rsid w:val="7DD58FD8"/>
    <w:rsid w:val="7EF5AB17"/>
    <w:rsid w:val="BE8E633E"/>
    <w:rsid w:val="DCEA48C7"/>
    <w:rsid w:val="DCF96430"/>
    <w:rsid w:val="E7CEF543"/>
    <w:rsid w:val="ED9B1D74"/>
    <w:rsid w:val="EDBF1211"/>
    <w:rsid w:val="FAFFC486"/>
    <w:rsid w:val="FBFE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页眉 Char"/>
    <w:basedOn w:val="7"/>
    <w:link w:val="3"/>
    <w:semiHidden/>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382</Words>
  <Characters>2183</Characters>
  <Lines>18</Lines>
  <Paragraphs>5</Paragraphs>
  <TotalTime>10</TotalTime>
  <ScaleCrop>false</ScaleCrop>
  <LinksUpToDate>false</LinksUpToDate>
  <CharactersWithSpaces>2560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2020-05-02T16:39:00Z</dcterms:created>
  <dc:creator>Windows 用户</dc:creator>
  <cp:lastModifiedBy>lenovo</cp:lastModifiedBy>
  <dcterms:modified xsi:type="dcterms:W3CDTF">2020-12-28T04:50:00Z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