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ascii="方正小标宋简体" w:hAnsi="黑体" w:eastAsia="方正小标宋简体" w:cs="方正小标宋简体"/>
          <w:color w:val="000000" w:themeColor="text1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 w:themeColor="text1"/>
          <w:kern w:val="36"/>
          <w:sz w:val="44"/>
          <w:szCs w:val="44"/>
        </w:rPr>
        <w:t>安丘市检验检测中心</w:t>
      </w:r>
    </w:p>
    <w:p>
      <w:pPr>
        <w:widowControl/>
        <w:spacing w:line="560" w:lineRule="exact"/>
        <w:jc w:val="center"/>
        <w:outlineLvl w:val="0"/>
        <w:rPr>
          <w:rFonts w:ascii="方正小标宋简体" w:hAnsi="黑体" w:eastAsia="方正小标宋简体" w:cs="方正小标宋简体"/>
          <w:color w:val="000000" w:themeColor="text1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color w:val="000000" w:themeColor="text1"/>
          <w:kern w:val="36"/>
          <w:sz w:val="44"/>
          <w:szCs w:val="44"/>
        </w:rPr>
        <w:t>2020年政府信息公开工作年度报告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 w:themeColor="text1"/>
          <w:kern w:val="0"/>
          <w:sz w:val="32"/>
          <w:szCs w:val="32"/>
        </w:rPr>
        <w:t>根据《中华人民共和国政府信息公开条例》（以下简称《条例》）、《山东省政府信息公开办法》（以下简称《办法》）和《安丘市人民政府办公室关于做好2020年政府信息公开工作年度报告编制发布和报送工作的通知》要求，特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编制2020年度安丘市检验检测中心信息公开年度报告并向社会公布。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本年度报告中所列数据的统计期限自</w:t>
      </w:r>
      <w:r>
        <w:rPr>
          <w:rFonts w:hint="eastAsia" w:ascii="仿宋_GB2312" w:eastAsia="仿宋_GB2312" w:cs="宋体" w:hAnsiTheme="minorEastAsia"/>
          <w:color w:val="000000" w:themeColor="text1"/>
          <w:kern w:val="0"/>
          <w:sz w:val="32"/>
          <w:szCs w:val="32"/>
        </w:rPr>
        <w:t>2020年1月1日起，至2020年12月31日止。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本报告电子版可在安丘市人民政府门户网站政府信息公开专栏(http://xxgk.anqiu.gov.cn)查看或下载。如对本报告有任何疑问，请与安丘市检验检测中心办公室联系(地址：安丘市彩虹街与新安路交叉口西南政务服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  <w:lang w:eastAsia="zh-CN"/>
        </w:rPr>
        <w:t>务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中心北首安丘市检验检测中心305室，邮编：262100，电话：0536-4189001，传真：0536-4393801，邮箱：aqjyjczx@wf.shandong.cn)。</w:t>
      </w:r>
      <w:r>
        <w:rPr>
          <w:rFonts w:hint="eastAsia" w:eastAsia="仿宋_GB2312" w:asciiTheme="minorEastAsia" w:hAnsiTheme="minorEastAsia"/>
          <w:color w:val="000000" w:themeColor="text1"/>
          <w:sz w:val="32"/>
          <w:szCs w:val="32"/>
          <w:shd w:val="clear" w:color="auto" w:fill="FFFFFF"/>
        </w:rPr>
        <w:t> </w:t>
      </w:r>
      <w:bookmarkStart w:id="0" w:name="_GoBack"/>
      <w:bookmarkEnd w:id="0"/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eastAsia="仿宋_GB2312" w:cs="黑体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cs="黑体" w:hAnsiTheme="minorEastAsia"/>
          <w:color w:val="000000" w:themeColor="text1"/>
          <w:sz w:val="32"/>
          <w:szCs w:val="32"/>
        </w:rPr>
        <w:t xml:space="preserve">一、总体情况 </w:t>
      </w:r>
      <w:r>
        <w:rPr>
          <w:rFonts w:hint="eastAsia" w:eastAsia="仿宋_GB2312" w:cs="黑体" w:asciiTheme="minorEastAsia" w:hAnsiTheme="minorEastAsia"/>
          <w:color w:val="000000" w:themeColor="text1"/>
          <w:sz w:val="32"/>
          <w:szCs w:val="32"/>
        </w:rPr>
        <w:t>  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2020年以来，</w:t>
      </w:r>
      <w:r>
        <w:rPr>
          <w:rFonts w:hint="eastAsia" w:ascii="仿宋_GB2312" w:eastAsia="仿宋_GB2312" w:cs="宋体" w:hAnsiTheme="minorEastAsia"/>
          <w:color w:val="000000" w:themeColor="text1"/>
          <w:kern w:val="0"/>
          <w:sz w:val="32"/>
          <w:szCs w:val="32"/>
        </w:rPr>
        <w:t>安丘市检验检测中心认真贯彻《条例》和《办法》，全面落实中央、省和潍坊市关于全面推进政务公开工作的决策部署，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进一步调整优化公开目录，深入拓展公开渠道，</w:t>
      </w:r>
      <w:r>
        <w:rPr>
          <w:rFonts w:hint="eastAsia" w:ascii="仿宋_GB2312" w:eastAsia="仿宋_GB2312" w:cs="宋体" w:hAnsiTheme="minorEastAsia"/>
          <w:color w:val="000000" w:themeColor="text1"/>
          <w:kern w:val="0"/>
          <w:sz w:val="32"/>
          <w:szCs w:val="32"/>
        </w:rPr>
        <w:t>坚持以“公开为常态、不公开为例外”原则，扎实推进决策、执行、管理、服务、结果“五公开”，公开制度化、标准化、信息化水平显著提升。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（一）主动公开情况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截止2020年12月31日，我中心共计公开信息32条，其中工作信息19条，政策文件1条，管理公开1条，结果公开1条，重点领域3条以及组织机构、人事信息等其他信息，并已按要求在安丘市人民政府网站公开。</w:t>
      </w:r>
    </w:p>
    <w:p>
      <w:pPr>
        <w:widowControl/>
        <w:shd w:val="clear" w:color="auto" w:fill="FFFFFF"/>
        <w:jc w:val="center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>
            <wp:extent cx="5615940" cy="4182745"/>
            <wp:effectExtent l="19050" t="0" r="3810" b="0"/>
            <wp:docPr id="2" name="图片 1" descr="2020目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20目录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（二）依申请公开情况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1.依申请公开情况。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年共计受理依申请公开2件，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按时办结率100%。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2.申请行政复议、提起行政诉讼情况。全年未发生因政府信息公开被行政复议、提起行政诉讼情况。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（三）政府信息管理情况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一是完善信息公开管理流程。建立政府信息公开工作全流程管理机制，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严格按照“五公开”的要求对信息进行公开，确保应公开尽公开，同时严格公开流程，专人负责发布审核好的信息。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（四）平台建设情况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我中心明确了专人负责安丘市人民政府网站信息公开录入工作，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成立了以分管副主任为组长，各科室负责人为成员的政务公开工作领导小组。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（五）监督保障情况严格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按照《安丘市检验检测中心政务公开考核办法》开展日常监督考核工作，将政务公开工作纳入中心全年考核工作。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（六）机构建设及人员配置情况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按照机构改革要求，结合内部科室调整情况，及时调整中心政务公开工作小组，全面负责做好中心政府信息公开管理工作，办公室为信息公开工作机构，并安排专人具体负责，同时，中心各科室也将信息公开工作作为日常工作的规定动作，适合公开发布的信息及时主动报送办公室，确保信息准确性和时效性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（七）建议提案办理结果公开情况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2020年，我中心收到办理人大代表提案0件，政协委员提案0件。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（八）工作考核、社会评议和责任追究结果情况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1.建立考核通报制度。主动接受安丘市政府办公室对我中心政务信息公开情况的监督，及时做好主动公开工作，认真开展公开工作不到位内容的改进工作。同时，由中心办公室牵头定期对各科室政务公开工作进行监督，保证政务公开信息的时效性与准确性，发现问题及时督促相关科室限时整改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2.主动听取社会公众意见。一是对于需要向社会进行意见征集的，及时通过政府网站进行公示，并注明联系电话和邮箱，积极主动听取社会公众的意见与建议。二是认真参与政府开放日，并通过《行风在线》等渠道，对群众诉求进行及时反馈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3.责任追究结果情况。2020年我中心未出现因信息公开不到位需要进行责任追究的情况。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0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2415"/>
        <w:gridCol w:w="2100"/>
        <w:gridCol w:w="21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规章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cs="宋体" w:hAnsiTheme="minorEastAsia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 w:themeColor="text1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936"/>
        <w:gridCol w:w="2018"/>
        <w:gridCol w:w="798"/>
        <w:gridCol w:w="743"/>
        <w:gridCol w:w="743"/>
        <w:gridCol w:w="798"/>
        <w:gridCol w:w="951"/>
        <w:gridCol w:w="702"/>
        <w:gridCol w:w="6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40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after="150" w:line="560" w:lineRule="exact"/>
        <w:ind w:firstLine="480"/>
        <w:jc w:val="left"/>
        <w:rPr>
          <w:rFonts w:ascii="仿宋_GB2312" w:eastAsia="仿宋_GB2312" w:cs="黑体" w:hAnsiTheme="minorEastAsia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黑体" w:hAnsiTheme="minorEastAsia"/>
          <w:bCs/>
          <w:color w:val="000000" w:themeColor="text1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601"/>
        <w:gridCol w:w="600"/>
        <w:gridCol w:w="600"/>
        <w:gridCol w:w="566"/>
        <w:gridCol w:w="676"/>
        <w:gridCol w:w="636"/>
        <w:gridCol w:w="598"/>
        <w:gridCol w:w="598"/>
        <w:gridCol w:w="598"/>
        <w:gridCol w:w="598"/>
        <w:gridCol w:w="598"/>
        <w:gridCol w:w="598"/>
        <w:gridCol w:w="599"/>
        <w:gridCol w:w="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1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  <w:tc>
          <w:tcPr>
            <w:tcW w:w="31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9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</w:tr>
      <w:tr>
        <w:trPr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482"/>
        <w:jc w:val="left"/>
        <w:rPr>
          <w:rFonts w:cs="黑体" w:asciiTheme="minorEastAsia" w:hAnsiTheme="minorEastAsia"/>
          <w:bCs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五、存在的主要问题及改进情况</w:t>
      </w:r>
    </w:p>
    <w:p>
      <w:pPr>
        <w:widowControl/>
        <w:shd w:val="clear" w:color="auto" w:fill="FFFFFF"/>
        <w:spacing w:line="560" w:lineRule="exact"/>
        <w:ind w:firstLine="48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（一）2019年问题整改情况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一是强化政府信息公开工作培训，提升政务信息公开工作能力；二是强化政府信息公开工作力度，扩大政府信息公开内容的覆盖面；三是强化政府信息公开工作流程，保障政府信息公开的时效性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（二）2020年存在的主要问题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1.对公开的新要求学习不够深入。《政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府信息公开条例》修订后，对政府信息公开工作提出了新要求。在这种情况下，对政府信息公开工作的培训没有完全跟上，中心部分工作人员对其系统性认识不够深刻。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2.公开工作机制不够完善。中心政府信息公开工作的考核制度需要进一步修订，政府信息公开工作体系还需完善，公开渠道和形式需要进一步创新。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3.公开力度需进一步加大。主动公开目录有待进一步细化，公开手段不够丰富，公开内容不够深化、细化，重点领域信息公开需要进一步强化。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（三）改进措施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一是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强化公开队伍建设与培训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。中心配备1名专职和1名兼职政务信息公开工作人员，认真贯彻落实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:shd w:val="clear" w:color="auto" w:fill="FFFFFF"/>
        </w:rPr>
        <w:t>《中华人民共和国政府信息公开条例》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，切实加强政务信息公开业务的学习，定期组织开展政务公开培训学习会，提升政务信息公开工作水平。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shd w:val="clear" w:color="auto" w:fill="FFFFFF"/>
        </w:rPr>
        <w:t>二是不断健全政府信息公开工作机制。</w:t>
      </w: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制定《安丘市检验检测中心关于全面推进政务公开工作的实施方案》《安丘市检验检测中心政务公开考核办法》，完善信息公开配套制度，加强对信息公开工作的检查。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eastAsia="仿宋_GB2312" w:cs="仿宋_GB2312" w:hAnsiTheme="minorEastAsia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 w:themeColor="text1"/>
          <w:kern w:val="0"/>
          <w:sz w:val="32"/>
          <w:szCs w:val="32"/>
        </w:rPr>
        <w:t>三是拓宽公开范围。认真梳理政府信息公开事项,查漏补缺,修订信息公开指南和公开目录,确保应公开的全部公开;同时严把保密审查关,确保公开内容不泄露各类秘密,不危及国家安全、公共安全、经济安全、社会稳定,不涉及对第三方合法权益造成损害的个人隐私等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cs="黑体" w:hAnsiTheme="minorEastAsia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黑体" w:hAnsiTheme="minorEastAsia"/>
          <w:bCs/>
          <w:color w:val="000000" w:themeColor="text1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 w:cs="仿宋_GB2312" w:hAnsiTheme="minorEastAsia"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</w:rPr>
        <w:t>本年度报告中所列数据的统计期限从2020年1月1日到2020年12月31日止，报告电子版可查看附件。</w:t>
      </w:r>
    </w:p>
    <w:p>
      <w:pPr>
        <w:spacing w:line="56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>
      <w:pPr>
        <w:spacing w:line="560" w:lineRule="exac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安丘市检验检测中心</w:t>
      </w:r>
    </w:p>
    <w:p>
      <w:pPr>
        <w:spacing w:line="560" w:lineRule="exact"/>
        <w:jc w:val="righ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</w:rPr>
        <w:t>2020年1月22日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lNjk1OTc3Njk5YTI0ZDA0NmRlOTQ2Y2M3ZWI5OWMifQ=="/>
  </w:docVars>
  <w:rsids>
    <w:rsidRoot w:val="00D854FA"/>
    <w:rsid w:val="0001760A"/>
    <w:rsid w:val="00036504"/>
    <w:rsid w:val="00050F1B"/>
    <w:rsid w:val="0008278F"/>
    <w:rsid w:val="000E6485"/>
    <w:rsid w:val="00124F67"/>
    <w:rsid w:val="00152BF2"/>
    <w:rsid w:val="00192FFB"/>
    <w:rsid w:val="001C30AB"/>
    <w:rsid w:val="001E024D"/>
    <w:rsid w:val="002243B5"/>
    <w:rsid w:val="00237477"/>
    <w:rsid w:val="00243742"/>
    <w:rsid w:val="002457FD"/>
    <w:rsid w:val="002574B4"/>
    <w:rsid w:val="00267812"/>
    <w:rsid w:val="0031463C"/>
    <w:rsid w:val="00327A5A"/>
    <w:rsid w:val="00341489"/>
    <w:rsid w:val="00394AF4"/>
    <w:rsid w:val="00435F39"/>
    <w:rsid w:val="00474227"/>
    <w:rsid w:val="004912A0"/>
    <w:rsid w:val="00491FF7"/>
    <w:rsid w:val="004D571C"/>
    <w:rsid w:val="00531CFA"/>
    <w:rsid w:val="005334F3"/>
    <w:rsid w:val="00576242"/>
    <w:rsid w:val="0058595C"/>
    <w:rsid w:val="005D2BFE"/>
    <w:rsid w:val="005F2AFB"/>
    <w:rsid w:val="00636FE9"/>
    <w:rsid w:val="0065608D"/>
    <w:rsid w:val="006C791B"/>
    <w:rsid w:val="006F1CB6"/>
    <w:rsid w:val="00706082"/>
    <w:rsid w:val="007133A7"/>
    <w:rsid w:val="0075375F"/>
    <w:rsid w:val="007B73A3"/>
    <w:rsid w:val="007C0C13"/>
    <w:rsid w:val="007D548F"/>
    <w:rsid w:val="00822011"/>
    <w:rsid w:val="00891799"/>
    <w:rsid w:val="0089182A"/>
    <w:rsid w:val="008A40DB"/>
    <w:rsid w:val="00903651"/>
    <w:rsid w:val="00904279"/>
    <w:rsid w:val="00914F94"/>
    <w:rsid w:val="0094106F"/>
    <w:rsid w:val="009703CB"/>
    <w:rsid w:val="009706F5"/>
    <w:rsid w:val="00973AA2"/>
    <w:rsid w:val="009770E7"/>
    <w:rsid w:val="009B7AB1"/>
    <w:rsid w:val="00AE38E7"/>
    <w:rsid w:val="00B36929"/>
    <w:rsid w:val="00B45A9B"/>
    <w:rsid w:val="00BB6158"/>
    <w:rsid w:val="00BE0B9E"/>
    <w:rsid w:val="00BE64E7"/>
    <w:rsid w:val="00BF52BD"/>
    <w:rsid w:val="00C012A9"/>
    <w:rsid w:val="00C917CE"/>
    <w:rsid w:val="00CB0C32"/>
    <w:rsid w:val="00CC4D4E"/>
    <w:rsid w:val="00CD5A8F"/>
    <w:rsid w:val="00CE19B9"/>
    <w:rsid w:val="00D46D23"/>
    <w:rsid w:val="00D854FA"/>
    <w:rsid w:val="00DF2CC9"/>
    <w:rsid w:val="00E125AE"/>
    <w:rsid w:val="00E36BA7"/>
    <w:rsid w:val="00E41BB3"/>
    <w:rsid w:val="00E754DE"/>
    <w:rsid w:val="00E97A8B"/>
    <w:rsid w:val="00EC53FD"/>
    <w:rsid w:val="00EE0D26"/>
    <w:rsid w:val="00EF1B57"/>
    <w:rsid w:val="00F5203D"/>
    <w:rsid w:val="00FD5954"/>
    <w:rsid w:val="10671CC4"/>
    <w:rsid w:val="123B564E"/>
    <w:rsid w:val="1C8C4589"/>
    <w:rsid w:val="2C827DF2"/>
    <w:rsid w:val="401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4682-5CBD-4D01-93DF-D7DE79E25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544</Words>
  <Characters>3106</Characters>
  <Lines>25</Lines>
  <Paragraphs>7</Paragraphs>
  <TotalTime>135</TotalTime>
  <ScaleCrop>false</ScaleCrop>
  <LinksUpToDate>false</LinksUpToDate>
  <CharactersWithSpaces>3643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2020-01-14T07:35:00Z</dcterms:created>
  <dc:creator>Administrator</dc:creator>
  <cp:lastModifiedBy>辛芜</cp:lastModifiedBy>
  <dcterms:modified xsi:type="dcterms:W3CDTF">2024-02-09T07:49:51Z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6F933171AF224D518F1DB24183610C79_12</vt:lpwstr>
  </property>
</Properties>
</file>