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安丘市工业和信息化局</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23</w:t>
      </w:r>
      <w:r>
        <w:rPr>
          <w:rFonts w:hint="eastAsia" w:ascii="方正小标宋简体" w:hAnsi="方正小标宋简体" w:eastAsia="方正小标宋简体" w:cs="方正小标宋简体"/>
          <w:color w:val="auto"/>
          <w:sz w:val="44"/>
          <w:szCs w:val="44"/>
        </w:rPr>
        <w:t>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jc w:val="both"/>
        <w:textAlignment w:val="auto"/>
        <w:rPr>
          <w:rFonts w:hint="eastAsia" w:asciiTheme="minorEastAsia" w:hAnsiTheme="minorEastAsia" w:eastAsiaTheme="minorEastAsia" w:cstheme="minorEastAsia"/>
          <w:color w:val="auto"/>
          <w:sz w:val="30"/>
          <w:szCs w:val="30"/>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一、总体情况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今年以来，市工信局</w:t>
      </w:r>
      <w:r>
        <w:rPr>
          <w:rFonts w:hint="eastAsia" w:ascii="仿宋_GB2312" w:hAnsi="宋体" w:eastAsia="仿宋_GB2312" w:cs="仿宋_GB2312"/>
          <w:i w:val="0"/>
          <w:iCs w:val="0"/>
          <w:caps w:val="0"/>
          <w:color w:val="auto"/>
          <w:spacing w:val="0"/>
          <w:sz w:val="32"/>
          <w:szCs w:val="32"/>
          <w:shd w:val="clear" w:fill="FFFFFF"/>
        </w:rPr>
        <w:t>坚持以</w:t>
      </w:r>
      <w:r>
        <w:rPr>
          <w:rFonts w:hint="eastAsia" w:ascii="仿宋_GB2312" w:hAnsi="宋体" w:eastAsia="仿宋_GB2312" w:cs="仿宋_GB2312"/>
          <w:i w:val="0"/>
          <w:iCs w:val="0"/>
          <w:caps w:val="0"/>
          <w:color w:val="auto"/>
          <w:spacing w:val="0"/>
          <w:sz w:val="32"/>
          <w:szCs w:val="32"/>
          <w:shd w:val="clear" w:fill="FFFFFF"/>
          <w:lang w:val="en-US" w:eastAsia="zh-CN"/>
        </w:rPr>
        <w:t>服务企业为中心</w:t>
      </w:r>
      <w:r>
        <w:rPr>
          <w:rFonts w:hint="eastAsia" w:ascii="仿宋_GB2312" w:hAnsi="宋体" w:eastAsia="仿宋_GB2312" w:cs="仿宋_GB2312"/>
          <w:i w:val="0"/>
          <w:iCs w:val="0"/>
          <w:caps w:val="0"/>
          <w:color w:val="auto"/>
          <w:spacing w:val="0"/>
          <w:sz w:val="32"/>
          <w:szCs w:val="32"/>
          <w:shd w:val="clear" w:fill="FFFFFF"/>
        </w:rPr>
        <w:t>，全面贯彻落实《条例》和政务公开工作</w:t>
      </w:r>
      <w:r>
        <w:rPr>
          <w:rFonts w:hint="eastAsia" w:ascii="仿宋_GB2312" w:hAnsi="宋体" w:eastAsia="仿宋_GB2312" w:cs="仿宋_GB2312"/>
          <w:i w:val="0"/>
          <w:iCs w:val="0"/>
          <w:caps w:val="0"/>
          <w:color w:val="auto"/>
          <w:spacing w:val="0"/>
          <w:sz w:val="32"/>
          <w:szCs w:val="32"/>
          <w:shd w:val="clear" w:fill="FFFFFF"/>
          <w:lang w:val="en-US" w:eastAsia="zh-CN"/>
        </w:rPr>
        <w:t>任务</w:t>
      </w:r>
      <w:r>
        <w:rPr>
          <w:rFonts w:hint="eastAsia" w:ascii="仿宋_GB2312" w:hAnsi="宋体" w:eastAsia="仿宋_GB2312" w:cs="仿宋_GB2312"/>
          <w:i w:val="0"/>
          <w:iCs w:val="0"/>
          <w:caps w:val="0"/>
          <w:color w:val="auto"/>
          <w:spacing w:val="0"/>
          <w:sz w:val="32"/>
          <w:szCs w:val="32"/>
          <w:shd w:val="clear" w:fill="FFFFFF"/>
        </w:rPr>
        <w:t>，持续</w:t>
      </w:r>
      <w:r>
        <w:rPr>
          <w:rFonts w:hint="eastAsia" w:ascii="仿宋_GB2312" w:hAnsi="宋体" w:eastAsia="仿宋_GB2312" w:cs="仿宋_GB2312"/>
          <w:i w:val="0"/>
          <w:iCs w:val="0"/>
          <w:caps w:val="0"/>
          <w:color w:val="auto"/>
          <w:spacing w:val="0"/>
          <w:sz w:val="32"/>
          <w:szCs w:val="32"/>
          <w:shd w:val="clear" w:fill="FFFFFF"/>
          <w:lang w:val="en-US" w:eastAsia="zh-CN"/>
        </w:rPr>
        <w:t>开展</w:t>
      </w:r>
      <w:r>
        <w:rPr>
          <w:rFonts w:hint="eastAsia" w:ascii="仿宋_GB2312" w:hAnsi="宋体" w:eastAsia="仿宋_GB2312" w:cs="仿宋_GB2312"/>
          <w:i w:val="0"/>
          <w:iCs w:val="0"/>
          <w:caps w:val="0"/>
          <w:color w:val="auto"/>
          <w:spacing w:val="0"/>
          <w:sz w:val="32"/>
          <w:szCs w:val="32"/>
          <w:shd w:val="clear" w:fill="FFFFFF"/>
        </w:rPr>
        <w:t>政府信息公开</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政策精准推送，</w:t>
      </w:r>
      <w:r>
        <w:rPr>
          <w:rFonts w:hint="eastAsia" w:ascii="仿宋_GB2312" w:hAnsi="宋体" w:eastAsia="仿宋_GB2312" w:cs="仿宋_GB2312"/>
          <w:i w:val="0"/>
          <w:iCs w:val="0"/>
          <w:caps w:val="0"/>
          <w:color w:val="auto"/>
          <w:spacing w:val="0"/>
          <w:sz w:val="32"/>
          <w:szCs w:val="32"/>
          <w:shd w:val="clear" w:fill="FFFFFF"/>
        </w:rPr>
        <w:t>不断提升</w:t>
      </w:r>
      <w:r>
        <w:rPr>
          <w:rFonts w:hint="eastAsia" w:ascii="仿宋_GB2312" w:hAnsi="宋体" w:eastAsia="仿宋_GB2312" w:cs="仿宋_GB2312"/>
          <w:i w:val="0"/>
          <w:iCs w:val="0"/>
          <w:caps w:val="0"/>
          <w:color w:val="auto"/>
          <w:spacing w:val="0"/>
          <w:sz w:val="32"/>
          <w:szCs w:val="32"/>
          <w:shd w:val="clear" w:fill="FFFFFF"/>
          <w:lang w:val="en-US" w:eastAsia="zh-CN"/>
        </w:rPr>
        <w:t>惠企政策宣传的广度与深度</w:t>
      </w:r>
      <w:r>
        <w:rPr>
          <w:rFonts w:hint="eastAsia" w:ascii="仿宋_GB2312" w:hAnsi="宋体" w:eastAsia="仿宋_GB2312" w:cs="仿宋_GB2312"/>
          <w:i w:val="0"/>
          <w:iCs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1.体制机制建设情况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sz w:val="32"/>
          <w:szCs w:val="32"/>
          <w:lang w:val="en-US" w:eastAsia="zh-CN"/>
        </w:rPr>
      </w:pPr>
      <w:r>
        <w:rPr>
          <w:rFonts w:hint="eastAsia" w:ascii="仿宋_GB2312" w:hAnsi="宋体" w:eastAsia="仿宋_GB2312" w:cs="仿宋_GB2312"/>
          <w:i w:val="0"/>
          <w:iCs w:val="0"/>
          <w:caps w:val="0"/>
          <w:color w:val="auto"/>
          <w:spacing w:val="0"/>
          <w:sz w:val="32"/>
          <w:szCs w:val="32"/>
          <w:lang w:val="en-US" w:eastAsia="zh-CN"/>
        </w:rPr>
        <w:t>对</w:t>
      </w:r>
      <w:r>
        <w:rPr>
          <w:rFonts w:ascii="仿宋_GB2312" w:hAnsi="宋体" w:eastAsia="仿宋_GB2312" w:cs="仿宋_GB2312"/>
          <w:i w:val="0"/>
          <w:iCs w:val="0"/>
          <w:caps w:val="0"/>
          <w:color w:val="auto"/>
          <w:spacing w:val="0"/>
          <w:sz w:val="32"/>
          <w:szCs w:val="32"/>
        </w:rPr>
        <w:t>《</w:t>
      </w:r>
      <w:r>
        <w:rPr>
          <w:rFonts w:hint="eastAsia" w:ascii="仿宋_GB2312" w:hAnsi="宋体" w:eastAsia="仿宋_GB2312" w:cs="仿宋_GB2312"/>
          <w:i w:val="0"/>
          <w:iCs w:val="0"/>
          <w:caps w:val="0"/>
          <w:color w:val="auto"/>
          <w:spacing w:val="0"/>
          <w:sz w:val="32"/>
          <w:szCs w:val="32"/>
        </w:rPr>
        <w:t>202</w:t>
      </w:r>
      <w:r>
        <w:rPr>
          <w:rFonts w:hint="eastAsia" w:ascii="仿宋_GB2312" w:hAnsi="宋体" w:eastAsia="仿宋_GB2312" w:cs="仿宋_GB2312"/>
          <w:i w:val="0"/>
          <w:iCs w:val="0"/>
          <w:caps w:val="0"/>
          <w:color w:val="auto"/>
          <w:spacing w:val="0"/>
          <w:sz w:val="32"/>
          <w:szCs w:val="32"/>
          <w:lang w:val="en-US" w:eastAsia="zh-CN"/>
        </w:rPr>
        <w:t>3</w:t>
      </w:r>
      <w:r>
        <w:rPr>
          <w:rFonts w:hint="eastAsia" w:ascii="仿宋_GB2312" w:hAnsi="宋体" w:eastAsia="仿宋_GB2312" w:cs="仿宋_GB2312"/>
          <w:i w:val="0"/>
          <w:iCs w:val="0"/>
          <w:caps w:val="0"/>
          <w:color w:val="auto"/>
          <w:spacing w:val="0"/>
          <w:sz w:val="32"/>
          <w:szCs w:val="32"/>
        </w:rPr>
        <w:t>年政府信息主动公开基本目录》</w:t>
      </w:r>
      <w:r>
        <w:rPr>
          <w:rFonts w:hint="eastAsia" w:ascii="仿宋_GB2312" w:hAnsi="宋体" w:eastAsia="仿宋_GB2312" w:cs="仿宋_GB2312"/>
          <w:i w:val="0"/>
          <w:iCs w:val="0"/>
          <w:caps w:val="0"/>
          <w:color w:val="auto"/>
          <w:spacing w:val="0"/>
          <w:sz w:val="32"/>
          <w:szCs w:val="32"/>
          <w:lang w:val="en-US" w:eastAsia="zh-CN"/>
        </w:rPr>
        <w:t>进行了责任分解，建立了任务落实到具体科室、具体责任人，办公室负总责的体制机制。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2.主动公开信息情况</w:t>
      </w:r>
    </w:p>
    <w:p>
      <w:pPr>
        <w:pStyle w:val="2"/>
        <w:rPr>
          <w:rFonts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i w:val="0"/>
          <w:iCs w:val="0"/>
          <w:caps w:val="0"/>
          <w:color w:val="auto"/>
          <w:spacing w:val="0"/>
          <w:sz w:val="32"/>
          <w:szCs w:val="32"/>
          <w:shd w:val="clear" w:fill="FFFFFF"/>
          <w:lang w:val="en-US" w:eastAsia="zh-CN"/>
        </w:rPr>
        <w:t>全年</w:t>
      </w:r>
      <w:r>
        <w:rPr>
          <w:rFonts w:ascii="仿宋_GB2312" w:hAnsi="宋体" w:eastAsia="仿宋_GB2312" w:cs="仿宋_GB2312"/>
          <w:i w:val="0"/>
          <w:iCs w:val="0"/>
          <w:caps w:val="0"/>
          <w:color w:val="auto"/>
          <w:spacing w:val="0"/>
          <w:sz w:val="32"/>
          <w:szCs w:val="32"/>
          <w:shd w:val="clear" w:fill="FFFFFF"/>
        </w:rPr>
        <w:t>通过政府网站主动公开政府信息</w:t>
      </w:r>
      <w:r>
        <w:rPr>
          <w:rFonts w:hint="eastAsia" w:ascii="仿宋_GB2312" w:hAnsi="宋体" w:eastAsia="仿宋_GB2312" w:cs="仿宋_GB2312"/>
          <w:i w:val="0"/>
          <w:iCs w:val="0"/>
          <w:caps w:val="0"/>
          <w:color w:val="auto"/>
          <w:spacing w:val="0"/>
          <w:sz w:val="32"/>
          <w:szCs w:val="32"/>
          <w:shd w:val="clear" w:fill="FFFFFF"/>
          <w:lang w:val="en-US" w:eastAsia="zh-CN"/>
        </w:rPr>
        <w:t>146</w:t>
      </w:r>
      <w:r>
        <w:rPr>
          <w:rFonts w:ascii="仿宋_GB2312" w:hAnsi="宋体" w:eastAsia="仿宋_GB2312" w:cs="仿宋_GB2312"/>
          <w:i w:val="0"/>
          <w:iCs w:val="0"/>
          <w:caps w:val="0"/>
          <w:color w:val="auto"/>
          <w:spacing w:val="0"/>
          <w:sz w:val="32"/>
          <w:szCs w:val="32"/>
          <w:shd w:val="clear" w:fill="FFFFFF"/>
        </w:rPr>
        <w:t>条，较202</w:t>
      </w:r>
      <w:r>
        <w:rPr>
          <w:rFonts w:hint="eastAsia" w:ascii="仿宋_GB2312" w:hAnsi="宋体" w:eastAsia="仿宋_GB2312" w:cs="仿宋_GB2312"/>
          <w:i w:val="0"/>
          <w:iCs w:val="0"/>
          <w:caps w:val="0"/>
          <w:color w:val="auto"/>
          <w:spacing w:val="0"/>
          <w:sz w:val="32"/>
          <w:szCs w:val="32"/>
          <w:shd w:val="clear" w:fill="FFFFFF"/>
          <w:lang w:val="en-US" w:eastAsia="zh-CN"/>
        </w:rPr>
        <w:t>2</w:t>
      </w:r>
      <w:r>
        <w:rPr>
          <w:rFonts w:ascii="仿宋_GB2312" w:hAnsi="宋体" w:eastAsia="仿宋_GB2312" w:cs="仿宋_GB2312"/>
          <w:i w:val="0"/>
          <w:iCs w:val="0"/>
          <w:caps w:val="0"/>
          <w:color w:val="auto"/>
          <w:spacing w:val="0"/>
          <w:sz w:val="32"/>
          <w:szCs w:val="32"/>
          <w:shd w:val="clear" w:fill="FFFFFF"/>
        </w:rPr>
        <w:t>年增加</w:t>
      </w:r>
      <w:r>
        <w:rPr>
          <w:rFonts w:hint="eastAsia" w:ascii="仿宋_GB2312" w:hAnsi="宋体" w:eastAsia="仿宋_GB2312" w:cs="仿宋_GB2312"/>
          <w:i w:val="0"/>
          <w:iCs w:val="0"/>
          <w:caps w:val="0"/>
          <w:color w:val="auto"/>
          <w:spacing w:val="0"/>
          <w:sz w:val="32"/>
          <w:szCs w:val="32"/>
          <w:shd w:val="clear" w:fill="FFFFFF"/>
          <w:lang w:val="en-US" w:eastAsia="zh-CN"/>
        </w:rPr>
        <w:t>65.9</w:t>
      </w:r>
      <w:r>
        <w:rPr>
          <w:rFonts w:ascii="仿宋_GB2312" w:hAnsi="宋体" w:eastAsia="仿宋_GB2312" w:cs="仿宋_GB2312"/>
          <w:i w:val="0"/>
          <w:iCs w:val="0"/>
          <w:caps w:val="0"/>
          <w:color w:val="auto"/>
          <w:spacing w:val="0"/>
          <w:sz w:val="32"/>
          <w:szCs w:val="32"/>
          <w:shd w:val="clear" w:fill="FFFFFF"/>
        </w:rPr>
        <w:t>%。</w:t>
      </w:r>
      <w:r>
        <w:rPr>
          <w:rFonts w:hint="eastAsia" w:ascii="仿宋_GB2312" w:hAnsi="仿宋_GB2312" w:eastAsia="仿宋_GB2312" w:cs="仿宋_GB2312"/>
          <w:color w:val="auto"/>
          <w:sz w:val="32"/>
          <w:szCs w:val="32"/>
          <w:lang w:val="en-US" w:eastAsia="zh-CN"/>
        </w:rPr>
        <w:t>公开机构概况及领导信息3条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与2022年公开数据持平。</w:t>
      </w:r>
      <w:r>
        <w:rPr>
          <w:rFonts w:ascii="仿宋_GB2312" w:hAnsi="宋体" w:eastAsia="仿宋_GB2312" w:cs="仿宋_GB2312"/>
          <w:i w:val="0"/>
          <w:iCs w:val="0"/>
          <w:caps w:val="0"/>
          <w:color w:val="auto"/>
          <w:spacing w:val="0"/>
          <w:sz w:val="32"/>
          <w:szCs w:val="32"/>
          <w:shd w:val="clear" w:fill="FFFFFF"/>
        </w:rPr>
        <w:t>更新</w:t>
      </w:r>
      <w:r>
        <w:rPr>
          <w:rFonts w:hint="eastAsia" w:ascii="仿宋_GB2312" w:hAnsi="宋体" w:eastAsia="仿宋_GB2312" w:cs="仿宋_GB2312"/>
          <w:i w:val="0"/>
          <w:iCs w:val="0"/>
          <w:caps w:val="0"/>
          <w:color w:val="auto"/>
          <w:spacing w:val="0"/>
          <w:sz w:val="32"/>
          <w:szCs w:val="32"/>
          <w:shd w:val="clear" w:fill="FFFFFF"/>
          <w:lang w:eastAsia="zh-CN"/>
        </w:rPr>
        <w:t>了《</w:t>
      </w:r>
      <w:r>
        <w:rPr>
          <w:rFonts w:ascii="仿宋_GB2312" w:hAnsi="宋体" w:eastAsia="仿宋_GB2312" w:cs="仿宋_GB2312"/>
          <w:i w:val="0"/>
          <w:iCs w:val="0"/>
          <w:caps w:val="0"/>
          <w:color w:val="auto"/>
          <w:spacing w:val="0"/>
          <w:sz w:val="32"/>
          <w:szCs w:val="32"/>
          <w:shd w:val="clear" w:fill="FFFFFF"/>
        </w:rPr>
        <w:t>政府信息公开指南</w:t>
      </w:r>
      <w:r>
        <w:rPr>
          <w:rFonts w:hint="eastAsia" w:ascii="仿宋_GB2312" w:hAnsi="宋体" w:eastAsia="仿宋_GB2312" w:cs="仿宋_GB2312"/>
          <w:i w:val="0"/>
          <w:iCs w:val="0"/>
          <w:caps w:val="0"/>
          <w:color w:val="auto"/>
          <w:spacing w:val="0"/>
          <w:sz w:val="32"/>
          <w:szCs w:val="32"/>
          <w:shd w:val="clear" w:fill="FFFFFF"/>
          <w:lang w:eastAsia="zh-CN"/>
        </w:rPr>
        <w:t>》</w:t>
      </w:r>
      <w:r>
        <w:rPr>
          <w:rFonts w:ascii="仿宋_GB2312" w:hAnsi="宋体" w:eastAsia="仿宋_GB2312" w:cs="仿宋_GB2312"/>
          <w:i w:val="0"/>
          <w:iCs w:val="0"/>
          <w:caps w:val="0"/>
          <w:color w:val="auto"/>
          <w:spacing w:val="0"/>
          <w:sz w:val="32"/>
          <w:szCs w:val="32"/>
          <w:shd w:val="clear" w:fill="FFFFFF"/>
        </w:rPr>
        <w:t>、</w:t>
      </w:r>
      <w:r>
        <w:rPr>
          <w:rFonts w:hint="eastAsia" w:ascii="仿宋_GB2312" w:hAnsi="宋体" w:eastAsia="仿宋_GB2312" w:cs="仿宋_GB2312"/>
          <w:i w:val="0"/>
          <w:iCs w:val="0"/>
          <w:caps w:val="0"/>
          <w:color w:val="auto"/>
          <w:spacing w:val="0"/>
          <w:sz w:val="32"/>
          <w:szCs w:val="32"/>
          <w:shd w:val="clear" w:fill="FFFFFF"/>
          <w:lang w:eastAsia="zh-CN"/>
        </w:rPr>
        <w:t>《</w:t>
      </w:r>
      <w:r>
        <w:rPr>
          <w:rFonts w:ascii="仿宋_GB2312" w:hAnsi="宋体" w:eastAsia="仿宋_GB2312" w:cs="仿宋_GB2312"/>
          <w:i w:val="0"/>
          <w:iCs w:val="0"/>
          <w:caps w:val="0"/>
          <w:color w:val="auto"/>
          <w:spacing w:val="0"/>
          <w:sz w:val="32"/>
          <w:szCs w:val="32"/>
          <w:shd w:val="clear" w:fill="FFFFFF"/>
        </w:rPr>
        <w:t>政府信息公开年度报告</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等</w:t>
      </w:r>
      <w:r>
        <w:rPr>
          <w:rFonts w:ascii="仿宋_GB2312" w:hAnsi="宋体" w:eastAsia="仿宋_GB2312" w:cs="仿宋_GB2312"/>
          <w:i w:val="0"/>
          <w:iCs w:val="0"/>
          <w:caps w:val="0"/>
          <w:color w:val="auto"/>
          <w:spacing w:val="0"/>
          <w:sz w:val="32"/>
          <w:szCs w:val="32"/>
          <w:shd w:val="clear" w:fill="FFFFFF"/>
        </w:rPr>
        <w:t>信息；公开</w:t>
      </w:r>
      <w:r>
        <w:rPr>
          <w:rFonts w:hint="eastAsia" w:ascii="仿宋_GB2312" w:hAnsi="宋体" w:eastAsia="仿宋_GB2312" w:cs="仿宋_GB2312"/>
          <w:i w:val="0"/>
          <w:iCs w:val="0"/>
          <w:caps w:val="0"/>
          <w:color w:val="auto"/>
          <w:spacing w:val="0"/>
          <w:sz w:val="32"/>
          <w:szCs w:val="32"/>
          <w:shd w:val="clear" w:fill="FFFFFF"/>
          <w:lang w:eastAsia="zh-CN"/>
        </w:rPr>
        <w:t>了</w:t>
      </w:r>
      <w:r>
        <w:rPr>
          <w:rFonts w:ascii="仿宋_GB2312" w:hAnsi="宋体" w:eastAsia="仿宋_GB2312" w:cs="仿宋_GB2312"/>
          <w:i w:val="0"/>
          <w:iCs w:val="0"/>
          <w:caps w:val="0"/>
          <w:color w:val="auto"/>
          <w:spacing w:val="0"/>
          <w:sz w:val="32"/>
          <w:szCs w:val="32"/>
          <w:shd w:val="clear" w:fill="FFFFFF"/>
        </w:rPr>
        <w:t>本单位机关职能、机构设置、办公地址、办公时间、联系方式、负责人姓名等信息；</w:t>
      </w:r>
      <w:r>
        <w:rPr>
          <w:rFonts w:hint="eastAsia" w:ascii="仿宋_GB2312" w:hAnsi="仿宋_GB2312" w:eastAsia="仿宋_GB2312" w:cs="仿宋_GB2312"/>
          <w:color w:val="auto"/>
          <w:sz w:val="32"/>
          <w:szCs w:val="32"/>
          <w:lang w:eastAsia="zh-CN"/>
        </w:rPr>
        <w:t>公布部门</w:t>
      </w:r>
      <w:r>
        <w:rPr>
          <w:rFonts w:hint="eastAsia" w:ascii="仿宋_GB2312" w:hAnsi="仿宋_GB2312" w:eastAsia="仿宋_GB2312" w:cs="仿宋_GB2312"/>
          <w:color w:val="auto"/>
          <w:sz w:val="32"/>
          <w:szCs w:val="32"/>
          <w:lang w:val="en-US" w:eastAsia="zh-CN"/>
        </w:rPr>
        <w:t>2023年预算与2022年决算信息共14条</w:t>
      </w:r>
      <w:r>
        <w:rPr>
          <w:rFonts w:ascii="仿宋_GB2312" w:hAnsi="宋体" w:eastAsia="仿宋_GB2312" w:cs="仿宋_GB2312"/>
          <w:i w:val="0"/>
          <w:iCs w:val="0"/>
          <w:caps w:val="0"/>
          <w:color w:val="auto"/>
          <w:spacing w:val="0"/>
          <w:sz w:val="32"/>
          <w:szCs w:val="32"/>
          <w:shd w:val="clear" w:fill="FFFFFF"/>
        </w:rPr>
        <w:t>；做好法律、法规、规章和国家有关规定规定应当主动公开的其他政府信息。</w:t>
      </w:r>
    </w:p>
    <w:p>
      <w:pPr>
        <w:pStyle w:val="2"/>
        <w:ind w:left="0" w:leftChars="0" w:firstLine="0" w:firstLineChars="0"/>
        <w:jc w:val="center"/>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drawing>
          <wp:inline distT="0" distB="0" distL="114300" distR="114300">
            <wp:extent cx="5273040" cy="3954780"/>
            <wp:effectExtent l="0" t="0" r="3810" b="762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3.解读回应关切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重点关注了</w:t>
      </w:r>
      <w:r>
        <w:rPr>
          <w:rFonts w:hint="eastAsia" w:ascii="仿宋_GB2312" w:hAnsi="仿宋_GB2312" w:eastAsia="仿宋_GB2312" w:cs="仿宋_GB2312"/>
          <w:b w:val="0"/>
          <w:bCs w:val="0"/>
          <w:i w:val="0"/>
          <w:iCs w:val="0"/>
          <w:caps w:val="0"/>
          <w:color w:val="auto"/>
          <w:spacing w:val="0"/>
          <w:sz w:val="32"/>
          <w:szCs w:val="32"/>
          <w:shd w:val="clear" w:fill="FFFFFF"/>
        </w:rPr>
        <w:t>政策解读、回应关切，</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回应了网络问政1件，</w:t>
      </w:r>
      <w:r>
        <w:rPr>
          <w:rFonts w:hint="eastAsia" w:ascii="仿宋_GB2312" w:hAnsi="仿宋_GB2312" w:eastAsia="仿宋_GB2312" w:cs="仿宋_GB2312"/>
          <w:b w:val="0"/>
          <w:bCs w:val="0"/>
          <w:i w:val="0"/>
          <w:iCs w:val="0"/>
          <w:caps w:val="0"/>
          <w:color w:val="auto"/>
          <w:spacing w:val="0"/>
          <w:sz w:val="32"/>
          <w:szCs w:val="32"/>
          <w:shd w:val="clear" w:fill="FFFFFF"/>
        </w:rPr>
        <w:t>发布政策解读</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10</w:t>
      </w:r>
      <w:r>
        <w:rPr>
          <w:rFonts w:hint="eastAsia" w:ascii="仿宋_GB2312" w:hAnsi="仿宋_GB2312" w:eastAsia="仿宋_GB2312" w:cs="仿宋_GB2312"/>
          <w:b w:val="0"/>
          <w:bCs w:val="0"/>
          <w:i w:val="0"/>
          <w:iCs w:val="0"/>
          <w:caps w:val="0"/>
          <w:color w:val="auto"/>
          <w:spacing w:val="0"/>
          <w:sz w:val="32"/>
          <w:szCs w:val="32"/>
          <w:shd w:val="clear" w:fill="FFFFFF"/>
        </w:rPr>
        <w:t>件</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2023年</w:t>
      </w:r>
      <w:r>
        <w:rPr>
          <w:rFonts w:hint="eastAsia" w:ascii="仿宋_GB2312" w:hAnsi="仿宋_GB2312" w:eastAsia="仿宋_GB2312" w:cs="仿宋_GB2312"/>
          <w:i w:val="0"/>
          <w:iCs w:val="0"/>
          <w:caps w:val="0"/>
          <w:color w:val="auto"/>
          <w:spacing w:val="0"/>
          <w:sz w:val="32"/>
          <w:szCs w:val="32"/>
          <w:shd w:val="clear" w:fill="FFFFFF"/>
        </w:rPr>
        <w:t>新收到政府信息公开申请</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件，较202</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年减</w:t>
      </w:r>
      <w:r>
        <w:rPr>
          <w:rFonts w:hint="eastAsia" w:ascii="仿宋_GB2312" w:hAnsi="仿宋_GB2312" w:eastAsia="仿宋_GB2312" w:cs="仿宋_GB2312"/>
          <w:i w:val="0"/>
          <w:iCs w:val="0"/>
          <w:caps w:val="0"/>
          <w:color w:val="auto"/>
          <w:spacing w:val="0"/>
          <w:sz w:val="32"/>
          <w:szCs w:val="32"/>
          <w:shd w:val="clear" w:fill="FFFFFF"/>
          <w:lang w:val="en-US" w:eastAsia="zh-CN"/>
        </w:rPr>
        <w:t>增加100</w:t>
      </w:r>
      <w:r>
        <w:rPr>
          <w:rFonts w:hint="eastAsia" w:ascii="仿宋_GB2312" w:hAnsi="仿宋_GB2312" w:eastAsia="仿宋_GB2312" w:cs="仿宋_GB2312"/>
          <w:i w:val="0"/>
          <w:iCs w:val="0"/>
          <w:caps w:val="0"/>
          <w:color w:val="auto"/>
          <w:spacing w:val="0"/>
          <w:sz w:val="32"/>
          <w:szCs w:val="32"/>
          <w:shd w:val="clear" w:fill="FFFFFF"/>
        </w:rPr>
        <w:t>%,主要</w:t>
      </w:r>
      <w:r>
        <w:rPr>
          <w:rFonts w:hint="eastAsia" w:ascii="仿宋_GB2312" w:hAnsi="仿宋_GB2312" w:eastAsia="仿宋_GB2312" w:cs="仿宋_GB2312"/>
          <w:i w:val="0"/>
          <w:iCs w:val="0"/>
          <w:caps w:val="0"/>
          <w:color w:val="auto"/>
          <w:spacing w:val="0"/>
          <w:sz w:val="32"/>
          <w:szCs w:val="32"/>
          <w:shd w:val="clear" w:fill="FFFFFF"/>
          <w:lang w:val="en-US" w:eastAsia="zh-CN"/>
        </w:rPr>
        <w:t>是要求提供</w:t>
      </w:r>
      <w:r>
        <w:rPr>
          <w:rFonts w:hint="eastAsia" w:ascii="仿宋_GB2312" w:hAnsi="仿宋_GB2312" w:eastAsia="仿宋_GB2312" w:cs="仿宋_GB2312"/>
          <w:color w:val="auto"/>
          <w:sz w:val="32"/>
          <w:szCs w:val="32"/>
          <w:lang w:val="en-US" w:eastAsia="zh-CN"/>
        </w:rPr>
        <w:t>印发文件数量和移动基站分布情况</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在</w:t>
      </w:r>
      <w:r>
        <w:rPr>
          <w:rFonts w:hint="eastAsia" w:ascii="仿宋_GB2312" w:hAnsi="仿宋_GB2312" w:eastAsia="仿宋_GB2312" w:cs="仿宋_GB2312"/>
          <w:i w:val="0"/>
          <w:iCs w:val="0"/>
          <w:caps w:val="0"/>
          <w:color w:val="auto"/>
          <w:spacing w:val="0"/>
          <w:sz w:val="32"/>
          <w:szCs w:val="32"/>
          <w:shd w:val="clear" w:fill="FFFFFF"/>
        </w:rPr>
        <w:t>严格依照政府信息公开申请办理制度和程序答复</w:t>
      </w:r>
      <w:r>
        <w:rPr>
          <w:rFonts w:hint="eastAsia" w:ascii="仿宋_GB2312" w:hAnsi="仿宋_GB2312" w:eastAsia="仿宋_GB2312" w:cs="仿宋_GB2312"/>
          <w:i w:val="0"/>
          <w:iCs w:val="0"/>
          <w:caps w:val="0"/>
          <w:color w:val="auto"/>
          <w:spacing w:val="0"/>
          <w:sz w:val="32"/>
          <w:szCs w:val="32"/>
          <w:shd w:val="clear" w:fill="FFFFFF"/>
          <w:lang w:val="en-US" w:eastAsia="zh-CN"/>
        </w:rPr>
        <w:t>的同时，创新工作方法，采用与上级相关业务部门联合答复的方式，更加便捷、直观的对依申请公开内容进行公开</w:t>
      </w:r>
      <w:r>
        <w:rPr>
          <w:rFonts w:hint="eastAsia" w:ascii="仿宋_GB2312" w:hAnsi="仿宋_GB2312" w:eastAsia="仿宋_GB2312" w:cs="仿宋_GB2312"/>
          <w:i w:val="0"/>
          <w:iCs w:val="0"/>
          <w:caps w:val="0"/>
          <w:color w:val="auto"/>
          <w:spacing w:val="0"/>
          <w:sz w:val="32"/>
          <w:szCs w:val="32"/>
          <w:shd w:val="clear" w:fill="FFFFFF"/>
        </w:rPr>
        <w:t>。因政府信息公开申请引起行政复议0件、行政诉讼0件。未收取任何政府信息公开相关费用。</w:t>
      </w:r>
    </w:p>
    <w:p>
      <w:pPr>
        <w:pStyle w:val="2"/>
        <w:jc w:val="center"/>
        <w:rPr>
          <w:rFonts w:hint="eastAsia"/>
          <w:color w:val="auto"/>
          <w:lang w:val="en-US" w:eastAsia="zh-CN"/>
        </w:rPr>
      </w:pPr>
      <w:r>
        <w:rPr>
          <w:rFonts w:hint="eastAsia"/>
          <w:color w:val="auto"/>
          <w:lang w:val="en-US" w:eastAsia="zh-CN"/>
        </w:rPr>
        <w:drawing>
          <wp:inline distT="0" distB="0" distL="114300" distR="114300">
            <wp:extent cx="5273040" cy="3954780"/>
            <wp:effectExtent l="0" t="0" r="3810" b="762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楷体_GB2312" w:hAnsi="微软雅黑" w:eastAsia="楷体_GB2312" w:cs="楷体_GB2312"/>
          <w:i w:val="0"/>
          <w:iCs w:val="0"/>
          <w:cap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根据制定的《安丘市工业和信息化局政府信息主动公开目录》，分解了2023年政务公开重点工作任务，</w:t>
      </w:r>
      <w:r>
        <w:rPr>
          <w:rFonts w:ascii="仿宋_GB2312" w:hAnsi="宋体" w:eastAsia="仿宋_GB2312" w:cs="仿宋_GB2312"/>
          <w:i w:val="0"/>
          <w:iCs w:val="0"/>
          <w:caps w:val="0"/>
          <w:color w:val="auto"/>
          <w:spacing w:val="0"/>
          <w:sz w:val="32"/>
          <w:szCs w:val="32"/>
          <w:shd w:val="clear" w:fill="FFFFFF"/>
        </w:rPr>
        <w:t>进一步细化政府信息公开；</w:t>
      </w:r>
      <w:r>
        <w:rPr>
          <w:rFonts w:hint="eastAsia" w:ascii="仿宋_GB2312" w:hAnsi="宋体" w:eastAsia="仿宋_GB2312" w:cs="仿宋_GB2312"/>
          <w:i w:val="0"/>
          <w:iCs w:val="0"/>
          <w:caps w:val="0"/>
          <w:color w:val="auto"/>
          <w:spacing w:val="0"/>
          <w:sz w:val="32"/>
          <w:szCs w:val="32"/>
          <w:shd w:val="clear" w:fill="FFFFFF"/>
          <w:lang w:val="en-US" w:eastAsia="zh-CN"/>
        </w:rPr>
        <w:t>落实好各项公开制度，</w:t>
      </w:r>
      <w:r>
        <w:rPr>
          <w:rFonts w:hint="eastAsia" w:ascii="仿宋_GB2312" w:hAnsi="宋体" w:eastAsia="仿宋_GB2312" w:cs="仿宋_GB2312"/>
          <w:i w:val="0"/>
          <w:iCs w:val="0"/>
          <w:caps w:val="0"/>
          <w:color w:val="auto"/>
          <w:spacing w:val="0"/>
          <w:sz w:val="32"/>
          <w:szCs w:val="32"/>
          <w:shd w:val="clear" w:fill="FFFFFF"/>
          <w:lang w:eastAsia="zh-CN"/>
        </w:rPr>
        <w:t>严格按照信息发布程序和流程，在做好保密审查的前提下，精准推送、</w:t>
      </w:r>
      <w:r>
        <w:rPr>
          <w:rFonts w:hint="eastAsia" w:ascii="仿宋_GB2312" w:hAnsi="宋体" w:eastAsia="仿宋_GB2312" w:cs="仿宋_GB2312"/>
          <w:i w:val="0"/>
          <w:iCs w:val="0"/>
          <w:caps w:val="0"/>
          <w:color w:val="auto"/>
          <w:spacing w:val="0"/>
          <w:sz w:val="32"/>
          <w:szCs w:val="32"/>
          <w:shd w:val="clear" w:fill="FFFFFF"/>
          <w:lang w:val="en-US" w:eastAsia="zh-CN"/>
        </w:rPr>
        <w:t>及时</w:t>
      </w:r>
      <w:r>
        <w:rPr>
          <w:rFonts w:hint="eastAsia" w:ascii="仿宋_GB2312" w:hAnsi="宋体" w:eastAsia="仿宋_GB2312" w:cs="仿宋_GB2312"/>
          <w:i w:val="0"/>
          <w:iCs w:val="0"/>
          <w:caps w:val="0"/>
          <w:color w:val="auto"/>
          <w:spacing w:val="0"/>
          <w:sz w:val="32"/>
          <w:szCs w:val="32"/>
          <w:shd w:val="clear" w:fill="FFFFFF"/>
          <w:lang w:eastAsia="zh-CN"/>
        </w:rPr>
        <w:t>发布信息；</w:t>
      </w:r>
      <w:r>
        <w:rPr>
          <w:rFonts w:hint="eastAsia" w:ascii="仿宋_GB2312" w:hAnsi="宋体" w:eastAsia="仿宋_GB2312" w:cs="仿宋_GB2312"/>
          <w:i w:val="0"/>
          <w:iCs w:val="0"/>
          <w:caps w:val="0"/>
          <w:color w:val="auto"/>
          <w:spacing w:val="0"/>
          <w:sz w:val="32"/>
          <w:szCs w:val="32"/>
          <w:shd w:val="clear" w:fill="FFFFFF"/>
        </w:rPr>
        <w:t>落实</w:t>
      </w:r>
      <w:r>
        <w:rPr>
          <w:rFonts w:hint="eastAsia" w:ascii="仿宋_GB2312" w:hAnsi="宋体" w:eastAsia="仿宋_GB2312" w:cs="仿宋_GB2312"/>
          <w:i w:val="0"/>
          <w:iCs w:val="0"/>
          <w:caps w:val="0"/>
          <w:color w:val="auto"/>
          <w:spacing w:val="0"/>
          <w:sz w:val="32"/>
          <w:szCs w:val="32"/>
          <w:shd w:val="clear" w:fill="FFFFFF"/>
          <w:lang w:val="en-US" w:eastAsia="zh-CN"/>
        </w:rPr>
        <w:t>好</w:t>
      </w:r>
      <w:r>
        <w:rPr>
          <w:rFonts w:hint="eastAsia" w:ascii="仿宋_GB2312" w:hAnsi="宋体" w:eastAsia="仿宋_GB2312" w:cs="仿宋_GB2312"/>
          <w:i w:val="0"/>
          <w:iCs w:val="0"/>
          <w:caps w:val="0"/>
          <w:color w:val="auto"/>
          <w:spacing w:val="0"/>
          <w:sz w:val="32"/>
          <w:szCs w:val="32"/>
          <w:shd w:val="clear" w:fill="FFFFFF"/>
        </w:rPr>
        <w:t>政府信息制作、管理、动态调整到归档保存的全生命周期管理制度。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2023年，及时更新</w:t>
      </w:r>
      <w:r>
        <w:rPr>
          <w:rFonts w:hint="eastAsia" w:ascii="仿宋_GB2312" w:eastAsia="仿宋_GB2312"/>
          <w:color w:val="auto"/>
          <w:sz w:val="32"/>
          <w:szCs w:val="32"/>
        </w:rPr>
        <w:t>政府信息公开查阅场所</w:t>
      </w:r>
      <w:r>
        <w:rPr>
          <w:rFonts w:hint="eastAsia" w:ascii="仿宋_GB2312" w:eastAsia="仿宋_GB2312"/>
          <w:color w:val="auto"/>
          <w:sz w:val="32"/>
          <w:szCs w:val="32"/>
          <w:lang w:val="en-US" w:eastAsia="zh-CN"/>
        </w:rPr>
        <w:t>资料，密切</w:t>
      </w:r>
      <w:r>
        <w:rPr>
          <w:rFonts w:hint="eastAsia" w:ascii="仿宋_GB2312" w:hAnsi="仿宋_GB2312" w:eastAsia="仿宋_GB2312" w:cs="仿宋_GB2312"/>
          <w:color w:val="auto"/>
          <w:sz w:val="32"/>
          <w:szCs w:val="32"/>
          <w:lang w:val="en-US" w:eastAsia="zh-CN"/>
        </w:rPr>
        <w:t>回应咨询问题1件。加大宣传力度，</w:t>
      </w:r>
      <w:r>
        <w:rPr>
          <w:rFonts w:hint="eastAsia" w:ascii="仿宋_GB2312" w:hAnsi="仿宋_GB2312" w:eastAsia="仿宋_GB2312" w:cs="仿宋_GB2312"/>
          <w:b w:val="0"/>
          <w:bCs w:val="0"/>
          <w:color w:val="auto"/>
          <w:sz w:val="32"/>
          <w:szCs w:val="32"/>
          <w:lang w:eastAsia="zh-CN"/>
        </w:rPr>
        <w:t>在《</w:t>
      </w:r>
      <w:r>
        <w:rPr>
          <w:rFonts w:hint="eastAsia" w:ascii="仿宋_GB2312" w:hAnsi="仿宋_GB2312" w:eastAsia="仿宋_GB2312" w:cs="仿宋_GB2312"/>
          <w:b w:val="0"/>
          <w:bCs w:val="0"/>
          <w:color w:val="auto"/>
          <w:sz w:val="32"/>
          <w:szCs w:val="32"/>
          <w:lang w:val="en-US" w:eastAsia="zh-CN"/>
        </w:rPr>
        <w:t>大众日报</w:t>
      </w:r>
      <w:r>
        <w:rPr>
          <w:rFonts w:hint="eastAsia" w:ascii="仿宋_GB2312" w:hAnsi="仿宋_GB2312" w:eastAsia="仿宋_GB2312" w:cs="仿宋_GB2312"/>
          <w:b w:val="0"/>
          <w:bCs w:val="0"/>
          <w:color w:val="auto"/>
          <w:sz w:val="32"/>
          <w:szCs w:val="32"/>
          <w:lang w:eastAsia="zh-CN"/>
        </w:rPr>
        <w:t>》《潍坊日报》《今日安丘》等报纸及《潍坊工业和信息化》等杂志发布信息</w:t>
      </w:r>
      <w:r>
        <w:rPr>
          <w:rFonts w:hint="eastAsia" w:ascii="仿宋_GB2312" w:hAnsi="仿宋_GB2312" w:eastAsia="仿宋_GB2312" w:cs="仿宋_GB2312"/>
          <w:b w:val="0"/>
          <w:bCs w:val="0"/>
          <w:color w:val="auto"/>
          <w:sz w:val="32"/>
          <w:szCs w:val="32"/>
          <w:lang w:val="en-US" w:eastAsia="zh-CN"/>
        </w:rPr>
        <w:t>180余篇。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（五）监督保障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加强经费保障，购买专用电脑一台，安排专职工作人员1名，兼职工作人员1名，明确政务公开工作监督职责，并进行了监督；</w:t>
      </w:r>
      <w:r>
        <w:rPr>
          <w:rFonts w:hint="eastAsia" w:ascii="仿宋_GB2312" w:hAnsi="仿宋_GB2312" w:eastAsia="仿宋_GB2312" w:cs="仿宋_GB2312"/>
          <w:b w:val="0"/>
          <w:bCs w:val="0"/>
          <w:color w:val="auto"/>
          <w:sz w:val="32"/>
          <w:szCs w:val="32"/>
          <w:highlight w:val="none"/>
          <w:lang w:val="en-US" w:eastAsia="zh-CN"/>
        </w:rPr>
        <w:t>开展专题培训2次；对全局工作信息报送情况进行了考核；及时进行社会评议，并根据评议情况进行改正；完善责任追究制度，全年对提报公开内容不及时的相关责任人谈话批评2次。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二、主动公开政府信息情况 </w:t>
      </w:r>
    </w:p>
    <w:p>
      <w:pPr>
        <w:pStyle w:val="2"/>
        <w:ind w:left="0" w:leftChars="0" w:firstLine="0" w:firstLineChars="0"/>
        <w:rPr>
          <w:rFonts w:hint="eastAsia"/>
          <w:color w:val="auto"/>
          <w:lang w:val="en-US" w:eastAsia="zh-CN"/>
        </w:rPr>
      </w:pPr>
    </w:p>
    <w:tbl>
      <w:tblPr>
        <w:tblStyle w:val="7"/>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45"/>
        <w:gridCol w:w="2145"/>
        <w:gridCol w:w="2145"/>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信息内容</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规章</w:t>
            </w:r>
          </w:p>
        </w:tc>
        <w:tc>
          <w:tcPr>
            <w:tcW w:w="21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行政规范性文件</w:t>
            </w:r>
          </w:p>
        </w:tc>
        <w:tc>
          <w:tcPr>
            <w:tcW w:w="21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信息内容</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行政许可</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r>
              <w:rPr>
                <w:rFonts w:hint="eastAsia" w:ascii="宋体" w:hAnsi="宋体" w:eastAsia="宋体" w:cs="宋体"/>
                <w:color w:val="auto"/>
                <w:kern w:val="0"/>
                <w:sz w:val="20"/>
                <w:szCs w:val="20"/>
                <w:lang w:val="en-US" w:eastAsia="zh-CN" w:bidi="ar"/>
              </w:rPr>
              <w:t>信息内容</w:t>
            </w:r>
          </w:p>
        </w:tc>
        <w:tc>
          <w:tcPr>
            <w:tcW w:w="643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行政处罚</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行政强制</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信息内容</w:t>
            </w:r>
          </w:p>
        </w:tc>
        <w:tc>
          <w:tcPr>
            <w:tcW w:w="643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行政事业性收费</w:t>
            </w:r>
          </w:p>
        </w:tc>
        <w:tc>
          <w:tcPr>
            <w:tcW w:w="643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default"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三、收到和处理政府信息公开申请情况</w:t>
      </w:r>
    </w:p>
    <w:tbl>
      <w:tblPr>
        <w:tblStyle w:val="7"/>
        <w:tblpPr w:leftFromText="180" w:rightFromText="180" w:vertAnchor="text" w:horzAnchor="page" w:tblpX="1730" w:tblpY="2574"/>
        <w:tblOverlap w:val="never"/>
        <w:tblW w:w="86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2"/>
        <w:gridCol w:w="838"/>
        <w:gridCol w:w="2658"/>
        <w:gridCol w:w="824"/>
        <w:gridCol w:w="612"/>
        <w:gridCol w:w="612"/>
        <w:gridCol w:w="612"/>
        <w:gridCol w:w="612"/>
        <w:gridCol w:w="614"/>
        <w:gridCol w:w="6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501"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2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bidi="ar"/>
              </w:rPr>
              <w:t>自然人</w:t>
            </w:r>
          </w:p>
        </w:tc>
        <w:tc>
          <w:tcPr>
            <w:tcW w:w="3062"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bidi="ar"/>
              </w:rPr>
              <w:t>法人或其他组织</w:t>
            </w:r>
          </w:p>
        </w:tc>
        <w:tc>
          <w:tcPr>
            <w:tcW w:w="615"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24"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商业企业</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科研机构</w:t>
            </w:r>
          </w:p>
        </w:tc>
        <w:tc>
          <w:tcPr>
            <w:tcW w:w="612"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社会公益组织</w:t>
            </w:r>
          </w:p>
        </w:tc>
        <w:tc>
          <w:tcPr>
            <w:tcW w:w="612"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法律服务机构</w:t>
            </w:r>
          </w:p>
        </w:tc>
        <w:tc>
          <w:tcPr>
            <w:tcW w:w="6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其他</w:t>
            </w:r>
          </w:p>
        </w:tc>
        <w:tc>
          <w:tcPr>
            <w:tcW w:w="615"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2</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三、本年度办理结果</w:t>
            </w: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（一）予以公开</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2</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5"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（三）不予公开</w:t>
            </w: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1.属于国家秘密</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2.其他法律行政法规禁止公开</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3.危及“三安全一稳定”</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4.保护第三方合法权益</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5.属于三类内部事务信息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6.属于四类过程性信息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7.属于行政执法案卷</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8.属于行政查询事项</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（四）无法提供</w:t>
            </w: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1.本机关不掌握相关政府信息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2.没有现成信息需要另行制作</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3.补正后申请内容仍不明确</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（五）不予处理</w:t>
            </w: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1.信访举报投诉类申请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2.重复申请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3.要求提供公开出版物</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4.无正当理由大量反复申请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82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（六）其他处理</w:t>
            </w:r>
          </w:p>
        </w:tc>
        <w:tc>
          <w:tcPr>
            <w:tcW w:w="265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838"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3.其他</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color w:val="auto"/>
                <w:sz w:val="24"/>
                <w:szCs w:val="24"/>
              </w:rPr>
            </w:pP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（七）总计</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2</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lang w:val="en-US"/>
              </w:rPr>
            </w:pPr>
            <w:r>
              <w:rPr>
                <w:rFonts w:hint="eastAsia" w:cs="Calibri"/>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hint="eastAsia" w:ascii="宋体" w:hAnsi="宋体" w:eastAsia="宋体" w:cs="宋体"/>
                <w:color w:val="auto"/>
                <w:kern w:val="0"/>
                <w:sz w:val="20"/>
                <w:szCs w:val="20"/>
                <w:lang w:val="en-US" w:eastAsia="zh-CN" w:bidi="ar"/>
              </w:rPr>
              <w:t>四、结转下年度继续办理</w:t>
            </w:r>
          </w:p>
        </w:tc>
        <w:tc>
          <w:tcPr>
            <w:tcW w:w="82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r>
    </w:tbl>
    <w:p>
      <w:pPr>
        <w:pStyle w:val="2"/>
        <w:rPr>
          <w:rFonts w:hint="default"/>
          <w:color w:val="auto"/>
          <w:lang w:val="en-US" w:eastAsia="zh-CN"/>
        </w:rPr>
      </w:pPr>
    </w:p>
    <w:p>
      <w:pPr>
        <w:numPr>
          <w:ilvl w:val="0"/>
          <w:numId w:val="0"/>
        </w:numPr>
        <w:ind w:firstLine="640" w:firstLineChars="200"/>
        <w:jc w:val="both"/>
        <w:rPr>
          <w:rFonts w:hint="eastAsia" w:ascii="黑体" w:hAnsi="黑体" w:eastAsia="黑体" w:cs="黑体"/>
          <w:i w:val="0"/>
          <w:iCs w:val="0"/>
          <w:caps w:val="0"/>
          <w:color w:val="auto"/>
          <w:spacing w:val="0"/>
          <w:sz w:val="32"/>
          <w:szCs w:val="32"/>
          <w:shd w:val="clear" w:color="auto" w:fill="FFFFFF"/>
          <w:lang w:val="en-US" w:eastAsia="zh-CN"/>
        </w:rPr>
      </w:pPr>
    </w:p>
    <w:p>
      <w:pPr>
        <w:numPr>
          <w:ilvl w:val="0"/>
          <w:numId w:val="0"/>
        </w:numPr>
        <w:ind w:firstLine="640" w:firstLineChars="200"/>
        <w:jc w:val="both"/>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四、政府信息公开行政复议、行政诉讼情况</w:t>
      </w:r>
    </w:p>
    <w:tbl>
      <w:tblPr>
        <w:tblStyle w:val="7"/>
        <w:tblW w:w="86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3"/>
        <w:gridCol w:w="573"/>
        <w:gridCol w:w="573"/>
        <w:gridCol w:w="573"/>
        <w:gridCol w:w="577"/>
        <w:gridCol w:w="573"/>
        <w:gridCol w:w="573"/>
        <w:gridCol w:w="574"/>
        <w:gridCol w:w="574"/>
        <w:gridCol w:w="578"/>
        <w:gridCol w:w="575"/>
        <w:gridCol w:w="575"/>
        <w:gridCol w:w="575"/>
        <w:gridCol w:w="575"/>
        <w:gridCol w:w="5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286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5750"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57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57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57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57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57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287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287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0" w:hRule="atLeast"/>
          <w:jc w:val="center"/>
        </w:trPr>
        <w:tc>
          <w:tcPr>
            <w:tcW w:w="57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57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57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57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57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维持</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5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5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维持</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纠正</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审结</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57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（一）2022年问题整改情况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i w:val="0"/>
          <w:iCs w:val="0"/>
          <w:caps w:val="0"/>
          <w:color w:val="auto"/>
          <w:spacing w:val="0"/>
          <w:sz w:val="32"/>
          <w:szCs w:val="32"/>
          <w:shd w:val="clear" w:fill="FFFFFF"/>
          <w:lang w:val="en-US" w:eastAsia="zh-CN"/>
        </w:rPr>
        <w:t>针对“</w:t>
      </w:r>
      <w:r>
        <w:rPr>
          <w:rFonts w:hint="eastAsia" w:ascii="仿宋_GB2312" w:hAnsi="仿宋_GB2312" w:eastAsia="仿宋_GB2312" w:cs="仿宋_GB2312"/>
          <w:color w:val="auto"/>
          <w:sz w:val="32"/>
          <w:szCs w:val="32"/>
          <w:highlight w:val="none"/>
          <w:lang w:val="en-US" w:eastAsia="zh-CN"/>
        </w:rPr>
        <w:t>转载、公开上级政策时效性不高</w:t>
      </w:r>
      <w:r>
        <w:rPr>
          <w:rFonts w:hint="eastAsia" w:ascii="仿宋_GB2312" w:hAnsi="宋体" w:eastAsia="仿宋_GB2312" w:cs="仿宋_GB2312"/>
          <w:i w:val="0"/>
          <w:iCs w:val="0"/>
          <w:caps w:val="0"/>
          <w:color w:val="auto"/>
          <w:spacing w:val="0"/>
          <w:sz w:val="32"/>
          <w:szCs w:val="32"/>
          <w:shd w:val="clear" w:fill="FFFFFF"/>
          <w:lang w:val="en-US" w:eastAsia="zh-CN"/>
        </w:rPr>
        <w:t>”的问题，</w:t>
      </w:r>
      <w:r>
        <w:rPr>
          <w:rFonts w:ascii="仿宋_GB2312" w:hAnsi="宋体" w:eastAsia="仿宋_GB2312" w:cs="仿宋_GB2312"/>
          <w:i w:val="0"/>
          <w:iCs w:val="0"/>
          <w:caps w:val="0"/>
          <w:color w:val="auto"/>
          <w:spacing w:val="0"/>
          <w:sz w:val="32"/>
          <w:szCs w:val="32"/>
          <w:shd w:val="clear" w:fill="FFFFFF"/>
        </w:rPr>
        <w:t>不断探索高效、便捷的公开</w:t>
      </w:r>
      <w:r>
        <w:rPr>
          <w:rFonts w:hint="eastAsia" w:ascii="仿宋_GB2312" w:hAnsi="宋体" w:eastAsia="仿宋_GB2312" w:cs="仿宋_GB2312"/>
          <w:i w:val="0"/>
          <w:iCs w:val="0"/>
          <w:caps w:val="0"/>
          <w:color w:val="auto"/>
          <w:spacing w:val="0"/>
          <w:sz w:val="32"/>
          <w:szCs w:val="32"/>
          <w:shd w:val="clear" w:fill="FFFFFF"/>
          <w:lang w:val="en-US" w:eastAsia="zh-CN"/>
        </w:rPr>
        <w:t>和解读</w:t>
      </w:r>
      <w:r>
        <w:rPr>
          <w:rFonts w:ascii="仿宋_GB2312" w:hAnsi="宋体" w:eastAsia="仿宋_GB2312" w:cs="仿宋_GB2312"/>
          <w:i w:val="0"/>
          <w:iCs w:val="0"/>
          <w:caps w:val="0"/>
          <w:color w:val="auto"/>
          <w:spacing w:val="0"/>
          <w:sz w:val="32"/>
          <w:szCs w:val="32"/>
          <w:shd w:val="clear" w:fill="FFFFFF"/>
        </w:rPr>
        <w:t>方式，</w:t>
      </w:r>
      <w:r>
        <w:rPr>
          <w:rFonts w:hint="eastAsia" w:ascii="仿宋_GB2312" w:hAnsi="宋体" w:eastAsia="仿宋_GB2312" w:cs="仿宋_GB2312"/>
          <w:i w:val="0"/>
          <w:iCs w:val="0"/>
          <w:caps w:val="0"/>
          <w:color w:val="auto"/>
          <w:spacing w:val="0"/>
          <w:sz w:val="32"/>
          <w:szCs w:val="32"/>
          <w:shd w:val="clear" w:fill="FFFFFF"/>
          <w:lang w:val="en-US" w:eastAsia="zh-CN"/>
        </w:rPr>
        <w:t>着力</w:t>
      </w:r>
      <w:r>
        <w:rPr>
          <w:rFonts w:ascii="仿宋_GB2312" w:hAnsi="宋体" w:eastAsia="仿宋_GB2312" w:cs="仿宋_GB2312"/>
          <w:i w:val="0"/>
          <w:iCs w:val="0"/>
          <w:caps w:val="0"/>
          <w:color w:val="auto"/>
          <w:spacing w:val="0"/>
          <w:sz w:val="32"/>
          <w:szCs w:val="32"/>
          <w:shd w:val="clear" w:fill="FFFFFF"/>
        </w:rPr>
        <w:t>抓好</w:t>
      </w:r>
      <w:r>
        <w:rPr>
          <w:rFonts w:hint="eastAsia" w:ascii="仿宋_GB2312" w:hAnsi="宋体" w:eastAsia="仿宋_GB2312" w:cs="仿宋_GB2312"/>
          <w:i w:val="0"/>
          <w:iCs w:val="0"/>
          <w:caps w:val="0"/>
          <w:color w:val="auto"/>
          <w:spacing w:val="0"/>
          <w:sz w:val="32"/>
          <w:szCs w:val="32"/>
          <w:shd w:val="clear" w:fill="FFFFFF"/>
          <w:lang w:val="en-US" w:eastAsia="zh-CN"/>
        </w:rPr>
        <w:t>上级</w:t>
      </w:r>
      <w:r>
        <w:rPr>
          <w:rFonts w:ascii="仿宋_GB2312" w:hAnsi="宋体" w:eastAsia="仿宋_GB2312" w:cs="仿宋_GB2312"/>
          <w:i w:val="0"/>
          <w:iCs w:val="0"/>
          <w:caps w:val="0"/>
          <w:color w:val="auto"/>
          <w:spacing w:val="0"/>
          <w:sz w:val="32"/>
          <w:szCs w:val="32"/>
          <w:shd w:val="clear" w:fill="FFFFFF"/>
        </w:rPr>
        <w:t>政策和解读回应</w:t>
      </w:r>
      <w:r>
        <w:rPr>
          <w:rFonts w:hint="eastAsia" w:ascii="仿宋_GB2312" w:hAnsi="宋体" w:eastAsia="仿宋_GB2312" w:cs="仿宋_GB2312"/>
          <w:i w:val="0"/>
          <w:iCs w:val="0"/>
          <w:caps w:val="0"/>
          <w:color w:val="auto"/>
          <w:spacing w:val="0"/>
          <w:sz w:val="32"/>
          <w:szCs w:val="32"/>
          <w:shd w:val="clear" w:fill="FFFFFF"/>
          <w:lang w:val="en-US" w:eastAsia="zh-CN"/>
        </w:rPr>
        <w:t>的时效性</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让企业</w:t>
      </w:r>
      <w:r>
        <w:rPr>
          <w:rFonts w:hint="eastAsia" w:ascii="仿宋_GB2312" w:hAnsi="宋体" w:eastAsia="仿宋_GB2312" w:cs="仿宋_GB2312"/>
          <w:i w:val="0"/>
          <w:iCs w:val="0"/>
          <w:caps w:val="0"/>
          <w:color w:val="auto"/>
          <w:spacing w:val="0"/>
          <w:sz w:val="32"/>
          <w:szCs w:val="32"/>
          <w:shd w:val="clear" w:fill="FFFFFF"/>
          <w:lang w:val="en-US" w:eastAsia="zh-CN"/>
        </w:rPr>
        <w:t>和</w:t>
      </w:r>
      <w:r>
        <w:rPr>
          <w:rFonts w:hint="eastAsia" w:ascii="仿宋_GB2312" w:hAnsi="宋体" w:eastAsia="仿宋_GB2312" w:cs="仿宋_GB2312"/>
          <w:i w:val="0"/>
          <w:iCs w:val="0"/>
          <w:caps w:val="0"/>
          <w:color w:val="auto"/>
          <w:spacing w:val="0"/>
          <w:sz w:val="32"/>
          <w:szCs w:val="32"/>
          <w:shd w:val="clear" w:fill="FFFFFF"/>
        </w:rPr>
        <w:t>群众</w:t>
      </w:r>
      <w:r>
        <w:rPr>
          <w:rFonts w:hint="eastAsia" w:ascii="仿宋_GB2312" w:hAnsi="宋体" w:eastAsia="仿宋_GB2312" w:cs="仿宋_GB2312"/>
          <w:i w:val="0"/>
          <w:iCs w:val="0"/>
          <w:caps w:val="0"/>
          <w:color w:val="auto"/>
          <w:spacing w:val="0"/>
          <w:sz w:val="32"/>
          <w:szCs w:val="32"/>
          <w:shd w:val="clear" w:fill="FFFFFF"/>
          <w:lang w:val="en-US" w:eastAsia="zh-CN"/>
        </w:rPr>
        <w:t>更加及时的了解政策、充分享受惠企政策带来的红利</w:t>
      </w:r>
      <w:r>
        <w:rPr>
          <w:rFonts w:hint="eastAsia" w:ascii="仿宋_GB2312" w:hAnsi="宋体" w:eastAsia="仿宋_GB2312" w:cs="仿宋_GB2312"/>
          <w:i w:val="0"/>
          <w:iCs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（二）2023年存在的问题及改进情况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1.本部门起草政策解读的不够详细，时效性上有所延迟；</w:t>
      </w:r>
    </w:p>
    <w:p>
      <w:pPr>
        <w:pStyle w:val="2"/>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2.工业相关数据公开不及时。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改进情况：</w:t>
      </w:r>
    </w:p>
    <w:p>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1.根据政策内容，更加详实、细致、大众化的做好政策解读，尽早谋划，提高政策解读的时效性。</w:t>
      </w:r>
    </w:p>
    <w:p>
      <w:pPr>
        <w:pStyle w:val="2"/>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2.针对统计数据上报延迟的情况，加强研判，及时更新。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（一）收取信息处理费的情况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年度未收取政府信息公开信息处理费，包括：检索费、复制费（含案卷材料复制费）、邮寄费。</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（二）落实安丘市2023年度政务公开工作要点情况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2023年，针对企业、群众不断提高的政府信息公开参与积极性，市工信局大力推进工业领域信息公开，不断提高信息公开的时效性和实效性，使企业和群众能更快、更便捷的了解更多的信息。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（三）人大代表建议和政协委员提案办理公开情况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2023年，安丘市工业和信息化局共接到市人大建议1件，与2022年同期持平；市政协提案14件，与2022年同期增加100%。对接到的代表建议和提案高度重点，安排专人负责，与各委员、代表进行对接，及时给予答复。提案</w:t>
      </w:r>
      <w:r>
        <w:rPr>
          <w:rFonts w:hint="eastAsia" w:ascii="仿宋_GB2312" w:hAnsi="仿宋_GB2312" w:eastAsia="仿宋_GB2312" w:cs="仿宋_GB2312"/>
          <w:i w:val="0"/>
          <w:caps w:val="0"/>
          <w:color w:val="auto"/>
          <w:spacing w:val="0"/>
          <w:sz w:val="32"/>
          <w:szCs w:val="32"/>
          <w:highlight w:val="none"/>
          <w:shd w:val="clear" w:color="auto" w:fill="FFFFFF"/>
        </w:rPr>
        <w:t>办结率、见面率、满意率均</w:t>
      </w:r>
      <w:r>
        <w:rPr>
          <w:rFonts w:hint="eastAsia" w:ascii="仿宋_GB2312" w:hAnsi="仿宋_GB2312" w:eastAsia="仿宋_GB2312" w:cs="仿宋_GB2312"/>
          <w:i w:val="0"/>
          <w:caps w:val="0"/>
          <w:color w:val="auto"/>
          <w:spacing w:val="0"/>
          <w:sz w:val="32"/>
          <w:szCs w:val="32"/>
          <w:highlight w:val="none"/>
          <w:shd w:val="clear" w:color="auto" w:fill="FFFFFF"/>
          <w:lang w:eastAsia="zh-CN"/>
        </w:rPr>
        <w:t>为</w:t>
      </w:r>
      <w:r>
        <w:rPr>
          <w:rFonts w:hint="eastAsia" w:ascii="仿宋_GB2312" w:hAnsi="仿宋_GB2312" w:eastAsia="仿宋_GB2312" w:cs="仿宋_GB2312"/>
          <w:i w:val="0"/>
          <w:caps w:val="0"/>
          <w:color w:val="auto"/>
          <w:spacing w:val="0"/>
          <w:sz w:val="32"/>
          <w:szCs w:val="32"/>
          <w:highlight w:val="none"/>
          <w:shd w:val="clear" w:color="auto" w:fill="FFFFFF"/>
        </w:rPr>
        <w:t>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（四）安丘市工业和信息化局2023年度政务公开工作创新情况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val="en-US" w:eastAsia="zh-CN"/>
        </w:rPr>
        <w:t>2023年，市工信局创新工作方式方法，</w:t>
      </w:r>
      <w:r>
        <w:rPr>
          <w:rFonts w:hint="eastAsia" w:ascii="仿宋_GB2312" w:hAnsi="仿宋_GB2312" w:eastAsia="仿宋_GB2312" w:cs="仿宋_GB2312"/>
          <w:color w:val="auto"/>
          <w:sz w:val="32"/>
          <w:szCs w:val="32"/>
          <w:lang w:val="en-US" w:eastAsia="zh-CN"/>
        </w:rPr>
        <w:t>实行公开政策上门，变过去“企业找政策”为“政策找企业”， 组织政策宣讲小分队，先后到经济开发区、新安街道办事处、兴安街道办事处、凌河街道办事处、大汶河旅游发展中心、景芝镇等6个镇街区开展了惠企政策公开宣讲。累计有近400家主营业务在1000万元以上的企业负责人参加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（五）安丘市工业和信息化局2023年度政府信息公开工作年度报告数据统计需要说明的事项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本年度报告中所列</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各项</w:t>
      </w:r>
      <w:r>
        <w:rPr>
          <w:rFonts w:hint="eastAsia" w:ascii="仿宋_GB2312" w:hAnsi="仿宋_GB2312" w:eastAsia="仿宋_GB2312" w:cs="仿宋_GB2312"/>
          <w:b w:val="0"/>
          <w:bCs w:val="0"/>
          <w:i w:val="0"/>
          <w:iCs w:val="0"/>
          <w:caps w:val="0"/>
          <w:color w:val="auto"/>
          <w:spacing w:val="0"/>
          <w:sz w:val="32"/>
          <w:szCs w:val="32"/>
          <w:shd w:val="clear" w:color="auto" w:fill="FFFFFF"/>
        </w:rPr>
        <w:t>数据的统计期限自202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color="auto" w:fill="FFFFFF"/>
        </w:rPr>
        <w:t>年1月1日至202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color="auto" w:fill="FFFFFF"/>
        </w:rPr>
        <w:t>年12月31日。本年度报告的电子版可在</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安丘市人民政府门户网站</w:t>
      </w:r>
      <w:r>
        <w:rPr>
          <w:rFonts w:hint="eastAsia" w:ascii="仿宋_GB2312" w:hAnsi="仿宋_GB2312" w:eastAsia="仿宋_GB2312" w:cs="仿宋_GB2312"/>
          <w:b w:val="0"/>
          <w:bCs w:val="0"/>
          <w:i w:val="0"/>
          <w:iCs w:val="0"/>
          <w:caps w:val="0"/>
          <w:color w:val="auto"/>
          <w:spacing w:val="0"/>
          <w:sz w:val="32"/>
          <w:szCs w:val="32"/>
          <w:shd w:val="clear" w:color="auto" w:fill="FFFFFF"/>
        </w:rPr>
        <w:t>（http://www.anqiu.gov.cn/）下载。如对本报告有任何疑问，请与</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安丘市工业和信息化局企业管理科</w:t>
      </w:r>
      <w:r>
        <w:rPr>
          <w:rFonts w:hint="eastAsia" w:ascii="仿宋_GB2312" w:hAnsi="仿宋_GB2312" w:eastAsia="仿宋_GB2312" w:cs="仿宋_GB2312"/>
          <w:b w:val="0"/>
          <w:bCs w:val="0"/>
          <w:i w:val="0"/>
          <w:iCs w:val="0"/>
          <w:caps w:val="0"/>
          <w:color w:val="auto"/>
          <w:spacing w:val="0"/>
          <w:sz w:val="32"/>
          <w:szCs w:val="32"/>
          <w:shd w:val="clear" w:color="auto" w:fill="FFFFFF"/>
        </w:rPr>
        <w:t>联系（地址：</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山东省安丘市青云大街</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623号安丘市级机关综合办公大楼366房间</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邮编：</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262100</w:t>
      </w:r>
      <w:r>
        <w:rPr>
          <w:rFonts w:hint="eastAsia" w:ascii="仿宋_GB2312" w:hAnsi="仿宋_GB2312" w:eastAsia="仿宋_GB2312" w:cs="仿宋_GB2312"/>
          <w:b w:val="0"/>
          <w:bCs w:val="0"/>
          <w:i w:val="0"/>
          <w:iCs w:val="0"/>
          <w:caps w:val="0"/>
          <w:color w:val="auto"/>
          <w:spacing w:val="0"/>
          <w:sz w:val="32"/>
          <w:szCs w:val="32"/>
          <w:shd w:val="clear" w:color="auto" w:fill="FFFFFF"/>
        </w:rPr>
        <w:t>，电话：</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0536-4396366</w:t>
      </w:r>
      <w:r>
        <w:rPr>
          <w:rFonts w:hint="eastAsia" w:ascii="仿宋_GB2312" w:hAnsi="仿宋_GB2312" w:eastAsia="仿宋_GB2312" w:cs="仿宋_GB2312"/>
          <w:b w:val="0"/>
          <w:bCs w:val="0"/>
          <w:i w:val="0"/>
          <w:iCs w:val="0"/>
          <w:caps w:val="0"/>
          <w:color w:val="auto"/>
          <w:spacing w:val="0"/>
          <w:sz w:val="32"/>
          <w:szCs w:val="32"/>
          <w:shd w:val="clear" w:color="auto" w:fill="FFFFFF"/>
        </w:rPr>
        <w:t>，传真：</w:t>
      </w:r>
      <w:r>
        <w:rPr>
          <w:rFonts w:hint="eastAsia" w:ascii="仿宋_GB2312" w:hAnsi="仿宋_GB2312" w:eastAsia="仿宋_GB2312" w:cs="仿宋_GB2312"/>
          <w:b w:val="0"/>
          <w:bCs w:val="0"/>
          <w:color w:val="auto"/>
          <w:sz w:val="32"/>
          <w:szCs w:val="32"/>
        </w:rPr>
        <w:t>0536-</w:t>
      </w:r>
      <w:r>
        <w:rPr>
          <w:rFonts w:hint="eastAsia" w:ascii="仿宋_GB2312" w:hAnsi="仿宋_GB2312" w:eastAsia="仿宋_GB2312" w:cs="仿宋_GB2312"/>
          <w:b w:val="0"/>
          <w:bCs w:val="0"/>
          <w:color w:val="auto"/>
          <w:sz w:val="32"/>
          <w:szCs w:val="32"/>
          <w:lang w:val="en-US" w:eastAsia="zh-CN"/>
        </w:rPr>
        <w:t>6205111</w:t>
      </w:r>
      <w:r>
        <w:rPr>
          <w:rFonts w:hint="eastAsia" w:ascii="仿宋_GB2312" w:hAnsi="仿宋_GB2312" w:eastAsia="仿宋_GB2312" w:cs="仿宋_GB2312"/>
          <w:b w:val="0"/>
          <w:bCs w:val="0"/>
          <w:i w:val="0"/>
          <w:iCs w:val="0"/>
          <w:caps w:val="0"/>
          <w:color w:val="auto"/>
          <w:spacing w:val="0"/>
          <w:sz w:val="32"/>
          <w:szCs w:val="32"/>
          <w:shd w:val="clear" w:color="auto" w:fill="FFFFFF"/>
        </w:rPr>
        <w:t>，电子邮箱：</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aqsjxjbgs@wf.shandong.cn）。</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（六）安丘市工业和信息化局2023年度没有其他需要报告的事项。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（七）安丘市工业和信息化局本年度没有其他有关文件专门要求通过政府信息公开工作年度报告予以报告的事项。</w:t>
      </w:r>
    </w:p>
    <w:p>
      <w:pPr>
        <w:pStyle w:val="2"/>
        <w:rPr>
          <w:rFonts w:hint="eastAsia" w:ascii="仿宋_GB2312" w:hAnsi="仿宋_GB2312" w:eastAsia="仿宋_GB2312" w:cs="仿宋_GB2312"/>
          <w:i w:val="0"/>
          <w:caps w:val="0"/>
          <w:color w:val="auto"/>
          <w:spacing w:val="0"/>
          <w:sz w:val="32"/>
          <w:szCs w:val="32"/>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line="840" w:lineRule="exact"/>
        <w:ind w:firstLine="4480" w:firstLineChars="14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安丘市工业和信息化局</w:t>
      </w:r>
    </w:p>
    <w:p>
      <w:pPr>
        <w:pStyle w:val="2"/>
        <w:keepNext w:val="0"/>
        <w:keepLines w:val="0"/>
        <w:pageBreakBefore w:val="0"/>
        <w:widowControl w:val="0"/>
        <w:kinsoku/>
        <w:wordWrap/>
        <w:overflowPunct/>
        <w:topLinePunct w:val="0"/>
        <w:autoSpaceDE/>
        <w:autoSpaceDN/>
        <w:bidi w:val="0"/>
        <w:adjustRightInd/>
        <w:snapToGrid/>
        <w:spacing w:line="840" w:lineRule="exact"/>
        <w:ind w:firstLine="4800" w:firstLineChars="15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2024年1月20日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NzBhOTZhMzY3YjYzMDQ1Nzg2M2MwMmI2YTFlMWMifQ=="/>
  </w:docVars>
  <w:rsids>
    <w:rsidRoot w:val="5B341F47"/>
    <w:rsid w:val="00B55CB5"/>
    <w:rsid w:val="031C291F"/>
    <w:rsid w:val="03C868BA"/>
    <w:rsid w:val="04501297"/>
    <w:rsid w:val="04774E3A"/>
    <w:rsid w:val="04ED007F"/>
    <w:rsid w:val="0598047A"/>
    <w:rsid w:val="061964F5"/>
    <w:rsid w:val="068802A1"/>
    <w:rsid w:val="07623FEB"/>
    <w:rsid w:val="085602B5"/>
    <w:rsid w:val="086303CD"/>
    <w:rsid w:val="08A2799E"/>
    <w:rsid w:val="0949363B"/>
    <w:rsid w:val="09970E21"/>
    <w:rsid w:val="09FC4D07"/>
    <w:rsid w:val="0AB1211B"/>
    <w:rsid w:val="0BD00D56"/>
    <w:rsid w:val="0BF418DD"/>
    <w:rsid w:val="0C360B29"/>
    <w:rsid w:val="0CDE1621"/>
    <w:rsid w:val="0DDA1988"/>
    <w:rsid w:val="0F080ADF"/>
    <w:rsid w:val="0F911464"/>
    <w:rsid w:val="10EE3086"/>
    <w:rsid w:val="11056766"/>
    <w:rsid w:val="117450BC"/>
    <w:rsid w:val="11C81F80"/>
    <w:rsid w:val="121E62E8"/>
    <w:rsid w:val="13196AAF"/>
    <w:rsid w:val="13796657"/>
    <w:rsid w:val="14213E6D"/>
    <w:rsid w:val="142E10AB"/>
    <w:rsid w:val="148057F6"/>
    <w:rsid w:val="14821390"/>
    <w:rsid w:val="165D2E31"/>
    <w:rsid w:val="16C32DA5"/>
    <w:rsid w:val="17690B27"/>
    <w:rsid w:val="17D87F1B"/>
    <w:rsid w:val="19030F86"/>
    <w:rsid w:val="19314C5D"/>
    <w:rsid w:val="197761EE"/>
    <w:rsid w:val="19836A30"/>
    <w:rsid w:val="19C90FAA"/>
    <w:rsid w:val="19D41982"/>
    <w:rsid w:val="1B731C54"/>
    <w:rsid w:val="1D293876"/>
    <w:rsid w:val="1DB84E2C"/>
    <w:rsid w:val="1E4F15D7"/>
    <w:rsid w:val="1FC57803"/>
    <w:rsid w:val="1FE73769"/>
    <w:rsid w:val="209E1B20"/>
    <w:rsid w:val="20CB68DC"/>
    <w:rsid w:val="212C7FBE"/>
    <w:rsid w:val="212E578F"/>
    <w:rsid w:val="224A0A33"/>
    <w:rsid w:val="227C4964"/>
    <w:rsid w:val="22DB0750"/>
    <w:rsid w:val="22F83FEB"/>
    <w:rsid w:val="23842CC1"/>
    <w:rsid w:val="23E67AE2"/>
    <w:rsid w:val="24376272"/>
    <w:rsid w:val="24976248"/>
    <w:rsid w:val="24AA3A0B"/>
    <w:rsid w:val="254774AC"/>
    <w:rsid w:val="25637687"/>
    <w:rsid w:val="25917B3D"/>
    <w:rsid w:val="25D55953"/>
    <w:rsid w:val="25EA6AD9"/>
    <w:rsid w:val="270B6447"/>
    <w:rsid w:val="272A1763"/>
    <w:rsid w:val="284C664E"/>
    <w:rsid w:val="28594082"/>
    <w:rsid w:val="28861EB0"/>
    <w:rsid w:val="289242D8"/>
    <w:rsid w:val="2BDC0CD0"/>
    <w:rsid w:val="2C532BDA"/>
    <w:rsid w:val="2C9F62F3"/>
    <w:rsid w:val="2D123D40"/>
    <w:rsid w:val="2D3D05C0"/>
    <w:rsid w:val="2D930AC5"/>
    <w:rsid w:val="2E0D5A52"/>
    <w:rsid w:val="2E505623"/>
    <w:rsid w:val="2F561437"/>
    <w:rsid w:val="2FC31E25"/>
    <w:rsid w:val="2FF333CB"/>
    <w:rsid w:val="3002294D"/>
    <w:rsid w:val="30047984"/>
    <w:rsid w:val="303B172E"/>
    <w:rsid w:val="30AA200F"/>
    <w:rsid w:val="30CC0686"/>
    <w:rsid w:val="311D5FD9"/>
    <w:rsid w:val="31440172"/>
    <w:rsid w:val="31624CF5"/>
    <w:rsid w:val="31BC3A1B"/>
    <w:rsid w:val="32FF251B"/>
    <w:rsid w:val="33F1324A"/>
    <w:rsid w:val="359D2EF0"/>
    <w:rsid w:val="35B50461"/>
    <w:rsid w:val="35F20D6E"/>
    <w:rsid w:val="36B16728"/>
    <w:rsid w:val="374567CB"/>
    <w:rsid w:val="376A0BCB"/>
    <w:rsid w:val="37991DE9"/>
    <w:rsid w:val="37FF7EA7"/>
    <w:rsid w:val="388020F6"/>
    <w:rsid w:val="397B2CD6"/>
    <w:rsid w:val="39930ABA"/>
    <w:rsid w:val="39EC0368"/>
    <w:rsid w:val="3A431728"/>
    <w:rsid w:val="3A5C0EAC"/>
    <w:rsid w:val="3A717A42"/>
    <w:rsid w:val="3ACC060E"/>
    <w:rsid w:val="3B4A51A8"/>
    <w:rsid w:val="3BCB2A25"/>
    <w:rsid w:val="3DFC4BC0"/>
    <w:rsid w:val="3E1A078F"/>
    <w:rsid w:val="3E3C4205"/>
    <w:rsid w:val="3FE41D26"/>
    <w:rsid w:val="40326351"/>
    <w:rsid w:val="404F19E6"/>
    <w:rsid w:val="4068122B"/>
    <w:rsid w:val="42495ECF"/>
    <w:rsid w:val="432307A8"/>
    <w:rsid w:val="43BF635A"/>
    <w:rsid w:val="44622284"/>
    <w:rsid w:val="457F7B3F"/>
    <w:rsid w:val="463E7D7E"/>
    <w:rsid w:val="48B96B01"/>
    <w:rsid w:val="4A600D39"/>
    <w:rsid w:val="4B447E66"/>
    <w:rsid w:val="4C2630C7"/>
    <w:rsid w:val="4C2B3466"/>
    <w:rsid w:val="4C4457B5"/>
    <w:rsid w:val="4C722BD7"/>
    <w:rsid w:val="4C9B5534"/>
    <w:rsid w:val="4DB350BB"/>
    <w:rsid w:val="4DBE607A"/>
    <w:rsid w:val="4DD74FC1"/>
    <w:rsid w:val="4ED541CD"/>
    <w:rsid w:val="4F1D2EA8"/>
    <w:rsid w:val="4F7B4353"/>
    <w:rsid w:val="4F8922EB"/>
    <w:rsid w:val="50520C89"/>
    <w:rsid w:val="507C775A"/>
    <w:rsid w:val="50835D65"/>
    <w:rsid w:val="50AD135C"/>
    <w:rsid w:val="50C1440C"/>
    <w:rsid w:val="525C61A1"/>
    <w:rsid w:val="52772E07"/>
    <w:rsid w:val="54D116EB"/>
    <w:rsid w:val="555D2250"/>
    <w:rsid w:val="55D7577F"/>
    <w:rsid w:val="563A60ED"/>
    <w:rsid w:val="56E75CA3"/>
    <w:rsid w:val="574C5A70"/>
    <w:rsid w:val="57764DFD"/>
    <w:rsid w:val="58BD4DB3"/>
    <w:rsid w:val="58CE0D6F"/>
    <w:rsid w:val="59700F27"/>
    <w:rsid w:val="59A57D21"/>
    <w:rsid w:val="59C835FE"/>
    <w:rsid w:val="5B341F47"/>
    <w:rsid w:val="5B5778F2"/>
    <w:rsid w:val="5B7F0636"/>
    <w:rsid w:val="5B8F2A37"/>
    <w:rsid w:val="5C29468C"/>
    <w:rsid w:val="5C583771"/>
    <w:rsid w:val="5CA40764"/>
    <w:rsid w:val="5D1614B0"/>
    <w:rsid w:val="5D261179"/>
    <w:rsid w:val="5E525710"/>
    <w:rsid w:val="5E62139D"/>
    <w:rsid w:val="5E7423B8"/>
    <w:rsid w:val="5ED83D25"/>
    <w:rsid w:val="5F2431B4"/>
    <w:rsid w:val="5F3071BD"/>
    <w:rsid w:val="5FC75833"/>
    <w:rsid w:val="60EB472C"/>
    <w:rsid w:val="620F6680"/>
    <w:rsid w:val="621912AD"/>
    <w:rsid w:val="62306ED3"/>
    <w:rsid w:val="62862CEB"/>
    <w:rsid w:val="63B44426"/>
    <w:rsid w:val="63E41618"/>
    <w:rsid w:val="649C329C"/>
    <w:rsid w:val="64C222DE"/>
    <w:rsid w:val="670E33AA"/>
    <w:rsid w:val="67BE75F6"/>
    <w:rsid w:val="688A45DE"/>
    <w:rsid w:val="68BC5A9F"/>
    <w:rsid w:val="68C53F3C"/>
    <w:rsid w:val="691B0000"/>
    <w:rsid w:val="693410C2"/>
    <w:rsid w:val="699A7177"/>
    <w:rsid w:val="6A2E0487"/>
    <w:rsid w:val="6ACB7804"/>
    <w:rsid w:val="6B3C600C"/>
    <w:rsid w:val="6B8556DB"/>
    <w:rsid w:val="6C186A79"/>
    <w:rsid w:val="6C585943"/>
    <w:rsid w:val="6E922B12"/>
    <w:rsid w:val="6E9B64B5"/>
    <w:rsid w:val="6F2336ED"/>
    <w:rsid w:val="6F6D49E6"/>
    <w:rsid w:val="6FBF6775"/>
    <w:rsid w:val="6FED3EA0"/>
    <w:rsid w:val="6FFD3FBC"/>
    <w:rsid w:val="709366CE"/>
    <w:rsid w:val="70B86135"/>
    <w:rsid w:val="711143F8"/>
    <w:rsid w:val="714523A1"/>
    <w:rsid w:val="719646DC"/>
    <w:rsid w:val="71D56027"/>
    <w:rsid w:val="71F907B3"/>
    <w:rsid w:val="71FB09CF"/>
    <w:rsid w:val="722F148A"/>
    <w:rsid w:val="72A84400"/>
    <w:rsid w:val="72B70006"/>
    <w:rsid w:val="72F07E08"/>
    <w:rsid w:val="73972979"/>
    <w:rsid w:val="741D3D06"/>
    <w:rsid w:val="746936F5"/>
    <w:rsid w:val="749B3386"/>
    <w:rsid w:val="74E41BEE"/>
    <w:rsid w:val="74F6722B"/>
    <w:rsid w:val="75581C94"/>
    <w:rsid w:val="76C05612"/>
    <w:rsid w:val="777A57A2"/>
    <w:rsid w:val="78B561E6"/>
    <w:rsid w:val="78D10C6C"/>
    <w:rsid w:val="7A3C1F05"/>
    <w:rsid w:val="7B046B46"/>
    <w:rsid w:val="7B871525"/>
    <w:rsid w:val="7C01383F"/>
    <w:rsid w:val="7C296138"/>
    <w:rsid w:val="7CF57DA6"/>
    <w:rsid w:val="7ED54035"/>
    <w:rsid w:val="7F037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s1"/>
    <w:basedOn w:val="9"/>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3175</Words>
  <Characters>3400</Characters>
  <Lines>0</Lines>
  <Paragraphs>0</Paragraphs>
  <TotalTime>34</TotalTime>
  <ScaleCrop>false</ScaleCrop>
  <LinksUpToDate>false</LinksUpToDate>
  <CharactersWithSpaces>3405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2020-01-19T02:01:00Z</dcterms:created>
  <dc:creator>乾坤</dc:creator>
  <cp:lastModifiedBy>龙虾</cp:lastModifiedBy>
  <cp:lastPrinted>2022-01-23T02:05:00Z</cp:lastPrinted>
  <dcterms:modified xsi:type="dcterms:W3CDTF">2024-01-24T07:18:04Z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F4B6416474C84D2F95063EBEE9DE8D4A_13</vt:lpwstr>
  </property>
</Properties>
</file>