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1E43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安丘市医疗保障局</w:t>
      </w:r>
    </w:p>
    <w:p w14:paraId="14C52D5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年政府信息公开工作年度报</w:t>
      </w:r>
      <w:r>
        <w:rPr>
          <w:rFonts w:hint="eastAsia" w:ascii="方正小标宋简体" w:hAnsi="方正小标宋简体" w:eastAsia="方正小标宋简体" w:cs="方正小标宋简体"/>
          <w:b w:val="0"/>
          <w:bCs w:val="0"/>
          <w:sz w:val="44"/>
          <w:szCs w:val="44"/>
          <w:lang w:val="en-US" w:eastAsia="zh-CN"/>
        </w:rPr>
        <w:t>告</w:t>
      </w:r>
    </w:p>
    <w:p w14:paraId="2B86E04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p>
    <w:p w14:paraId="5EC0A2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国办公开办函〔2021〕30号</w:t>
      </w:r>
      <w:r>
        <w:rPr>
          <w:rFonts w:hint="eastAsia" w:ascii="仿宋_GB2312" w:hAnsi="仿宋_GB2312" w:eastAsia="仿宋_GB2312" w:cs="仿宋_GB2312"/>
          <w:sz w:val="32"/>
          <w:szCs w:val="32"/>
          <w:shd w:val="clear" w:color="auto" w:fill="FFFFFF"/>
        </w:rPr>
        <w:t>）等有关法律法规的要求编制。本报告包括六个部分内容：</w:t>
      </w:r>
      <w:r>
        <w:rPr>
          <w:rFonts w:hint="eastAsia" w:ascii="仿宋_GB2312" w:hAnsi="仿宋_GB2312" w:eastAsia="仿宋_GB2312" w:cs="仿宋_GB2312"/>
          <w:sz w:val="32"/>
          <w:szCs w:val="32"/>
        </w:rPr>
        <w:t>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4AA5A4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14:paraId="4B97A6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shd w:val="clear" w:color="auto" w:fill="FFFFFF"/>
          <w:lang w:eastAsia="zh-CN"/>
        </w:rPr>
      </w:pPr>
      <w:r>
        <w:rPr>
          <w:rFonts w:hint="eastAsia" w:ascii="仿宋_GB2312" w:hAnsi="仿宋_GB2312" w:eastAsia="仿宋_GB2312" w:cs="仿宋_GB2312"/>
          <w:sz w:val="32"/>
          <w:szCs w:val="32"/>
          <w:highlight w:val="none"/>
          <w:shd w:val="clear" w:color="auto" w:fill="FFFFFF"/>
          <w:lang w:eastAsia="zh-CN"/>
        </w:rPr>
        <w:t>2024年，在市委、市政府的坚强引领下，安丘市医疗保障局深入践行《条例》的核心</w:t>
      </w:r>
      <w:r>
        <w:rPr>
          <w:rFonts w:hint="eastAsia" w:ascii="仿宋_GB2312" w:hAnsi="仿宋_GB2312" w:eastAsia="仿宋_GB2312" w:cs="仿宋_GB2312"/>
          <w:sz w:val="32"/>
          <w:szCs w:val="32"/>
          <w:highlight w:val="none"/>
          <w:shd w:val="clear" w:color="auto" w:fill="FFFFFF"/>
          <w:lang w:val="en-US" w:eastAsia="zh-CN"/>
        </w:rPr>
        <w:t>内容</w:t>
      </w:r>
      <w:r>
        <w:rPr>
          <w:rFonts w:hint="eastAsia" w:ascii="仿宋_GB2312" w:hAnsi="仿宋_GB2312" w:eastAsia="仿宋_GB2312" w:cs="仿宋_GB2312"/>
          <w:sz w:val="32"/>
          <w:szCs w:val="32"/>
          <w:highlight w:val="none"/>
          <w:shd w:val="clear" w:color="auto" w:fill="FFFFFF"/>
          <w:lang w:eastAsia="zh-CN"/>
        </w:rPr>
        <w:t>，持续提升政务公开工作的标准化与系统化，</w:t>
      </w:r>
      <w:r>
        <w:rPr>
          <w:rFonts w:hint="eastAsia" w:ascii="仿宋_GB2312" w:hAnsi="仿宋_GB2312" w:eastAsia="仿宋_GB2312" w:cs="仿宋_GB2312"/>
          <w:sz w:val="32"/>
          <w:szCs w:val="32"/>
          <w:highlight w:val="none"/>
          <w:shd w:val="clear" w:color="auto" w:fill="FFFFFF"/>
          <w:lang w:val="en-US" w:eastAsia="zh-CN"/>
        </w:rPr>
        <w:t>推动</w:t>
      </w:r>
      <w:r>
        <w:rPr>
          <w:rFonts w:hint="eastAsia" w:ascii="仿宋_GB2312" w:hAnsi="仿宋_GB2312" w:eastAsia="仿宋_GB2312" w:cs="仿宋_GB2312"/>
          <w:sz w:val="32"/>
          <w:szCs w:val="32"/>
          <w:highlight w:val="none"/>
          <w:shd w:val="clear" w:color="auto" w:fill="FFFFFF"/>
          <w:lang w:eastAsia="zh-CN"/>
        </w:rPr>
        <w:t>我市医疗保障体系的持续优化。</w:t>
      </w:r>
    </w:p>
    <w:p w14:paraId="7B18F6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（一）主动公开</w:t>
      </w:r>
    </w:p>
    <w:p w14:paraId="609373F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1.体制机制建设情况</w:t>
      </w:r>
    </w:p>
    <w:p w14:paraId="42A40F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成立</w:t>
      </w:r>
      <w:r>
        <w:rPr>
          <w:rFonts w:hint="eastAsia" w:ascii="仿宋_GB2312" w:hAnsi="仿宋_GB2312" w:eastAsia="仿宋_GB2312" w:cs="仿宋_GB2312"/>
          <w:sz w:val="32"/>
          <w:szCs w:val="32"/>
          <w:highlight w:val="none"/>
          <w:shd w:val="clear" w:color="auto" w:fill="FFFFFF"/>
          <w:lang w:eastAsia="zh-CN"/>
        </w:rPr>
        <w:t>政务公开工作领导</w:t>
      </w:r>
      <w:r>
        <w:rPr>
          <w:rFonts w:hint="eastAsia" w:ascii="仿宋_GB2312" w:hAnsi="仿宋_GB2312" w:eastAsia="仿宋_GB2312" w:cs="仿宋_GB2312"/>
          <w:sz w:val="32"/>
          <w:szCs w:val="32"/>
          <w:highlight w:val="none"/>
          <w:shd w:val="clear" w:color="auto" w:fill="FFFFFF"/>
          <w:lang w:val="en-US" w:eastAsia="zh-CN"/>
        </w:rPr>
        <w:t>小组</w:t>
      </w:r>
      <w:r>
        <w:rPr>
          <w:rFonts w:hint="eastAsia" w:ascii="仿宋_GB2312" w:hAnsi="仿宋_GB2312" w:eastAsia="仿宋_GB2312" w:cs="仿宋_GB2312"/>
          <w:sz w:val="32"/>
          <w:szCs w:val="32"/>
          <w:highlight w:val="none"/>
          <w:shd w:val="clear" w:color="auto" w:fill="FFFFFF"/>
          <w:lang w:eastAsia="zh-CN"/>
        </w:rPr>
        <w:t>，由局长担任组长，设立政务公开领导小组办公室，确保政务公开工作有序推进。</w:t>
      </w:r>
    </w:p>
    <w:p w14:paraId="21FC3598">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shd w:val="clear" w:color="auto" w:fill="FFFFFF"/>
        </w:rPr>
      </w:pPr>
      <w:r>
        <w:rPr>
          <w:rFonts w:hint="eastAsia" w:ascii="仿宋_GB2312" w:hAnsi="仿宋_GB2312" w:eastAsia="仿宋_GB2312" w:cs="仿宋_GB2312"/>
          <w:b/>
          <w:bCs/>
          <w:sz w:val="32"/>
          <w:szCs w:val="32"/>
          <w:highlight w:val="none"/>
          <w:shd w:val="clear" w:color="auto" w:fill="FFFFFF"/>
        </w:rPr>
        <w:t>2.主动公开信息情况</w:t>
      </w:r>
    </w:p>
    <w:p w14:paraId="664638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截止2024年12月31日，主动公开政府信息210条，较去年减少37条。其中，通过政府信息公开专栏主动公开政府信息101条，相较去年减少14条，通过政务新媒体主动公开信息109条，相较去年减少6条。依据规定主动公开本医疗保障局机关职能、机构设置、办公地址、办公时间、联系方式、负责人姓名等信息；</w:t>
      </w:r>
      <w:r>
        <w:rPr>
          <w:rFonts w:hint="eastAsia" w:ascii="仿宋_GB2312" w:hAnsi="仿宋_GB2312" w:eastAsia="仿宋_GB2312" w:cs="仿宋_GB2312"/>
          <w:sz w:val="32"/>
          <w:szCs w:val="32"/>
          <w:highlight w:val="none"/>
          <w:shd w:val="clear" w:color="auto" w:fill="FFFFFF"/>
          <w:lang w:val="en-US" w:eastAsia="zh-CN"/>
        </w:rPr>
        <w:t>按时公开2024年部门预算、2023年部门决算信息</w:t>
      </w:r>
      <w:r>
        <w:rPr>
          <w:rFonts w:hint="eastAsia" w:ascii="仿宋_GB2312" w:hAnsi="仿宋_GB2312" w:eastAsia="仿宋_GB2312" w:cs="仿宋_GB2312"/>
          <w:sz w:val="32"/>
          <w:szCs w:val="32"/>
          <w:shd w:val="clear" w:color="auto" w:fill="FFFFFF"/>
          <w:lang w:val="en-US" w:eastAsia="zh-CN"/>
        </w:rPr>
        <w:t>；做好社会救助、社会保障等方面的信息更新；主动公开法律、法规、规章和国家有关规定规定应当公开的其他政府信息。</w:t>
      </w:r>
    </w:p>
    <w:p w14:paraId="59D9AC73">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3.解读回应关切</w:t>
      </w:r>
    </w:p>
    <w:p w14:paraId="6372048A">
      <w:pPr>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highlight w:val="none"/>
          <w:shd w:val="clear" w:color="auto" w:fill="FFFFFF"/>
          <w:lang w:eastAsia="zh-CN"/>
        </w:rPr>
        <w:t>2024年，发布6条医保政策解读资讯，阐释医保政策，通过网络问政平台、市长信箱等沟通渠道，回复并解决群众留言5条，迅速响应并妥善处理群众关心的医保问题。</w:t>
      </w:r>
    </w:p>
    <w:p w14:paraId="65B31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drawing>
          <wp:inline distT="0" distB="0" distL="114300" distR="114300">
            <wp:extent cx="4196715" cy="2867660"/>
            <wp:effectExtent l="0" t="0" r="13335" b="889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pic:cNvPicPr>
                  </pic:nvPicPr>
                  <pic:blipFill>
                    <a:blip r:embed="rId4"/>
                    <a:stretch>
                      <a:fillRect/>
                    </a:stretch>
                  </pic:blipFill>
                  <pic:spPr>
                    <a:xfrm>
                      <a:off x="0" y="0"/>
                      <a:ext cx="4196715" cy="2867660"/>
                    </a:xfrm>
                    <a:prstGeom prst="rect">
                      <a:avLst/>
                    </a:prstGeom>
                  </pic:spPr>
                </pic:pic>
              </a:graphicData>
            </a:graphic>
          </wp:inline>
        </w:drawing>
      </w:r>
    </w:p>
    <w:p w14:paraId="23CB5C69">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shd w:val="clear" w:color="auto" w:fill="FFFFFF"/>
        </w:rPr>
        <w:t xml:space="preserve">依申请公开 </w:t>
      </w:r>
    </w:p>
    <w:p w14:paraId="2AE2A2E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2024年，我局未接收到政府信息公开申请，较去年减少1件。未因政府信息公开被申请行政复议，未被提起行政诉讼。政务公开申请不收取费用。选派专人负责依申请公开相关办理，做好信息接收、登记、办理等工作，畅通在线申请渠道，提升政务公开申请办理质效。</w:t>
      </w:r>
      <w:r>
        <w:rPr>
          <w:rFonts w:hint="eastAsia" w:ascii="仿宋_GB2312" w:hAnsi="宋体" w:eastAsia="仿宋_GB2312" w:cs="仿宋_GB2312"/>
          <w:sz w:val="32"/>
          <w:szCs w:val="32"/>
          <w:lang w:val="en-US" w:eastAsia="zh-CN"/>
        </w:rPr>
        <w:t>无最新创新做法。</w:t>
      </w:r>
    </w:p>
    <w:p w14:paraId="695D3F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eastAsiaTheme="minorEastAsia"/>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12EF3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lang w:val="en-US" w:eastAsia="zh-CN"/>
        </w:rPr>
        <w:t>三</w:t>
      </w:r>
      <w:r>
        <w:rPr>
          <w:rFonts w:hint="eastAsia" w:ascii="楷体_GB2312" w:hAnsi="楷体_GB2312" w:eastAsia="楷体_GB2312" w:cs="楷体_GB2312"/>
          <w:sz w:val="32"/>
          <w:szCs w:val="32"/>
          <w:shd w:val="clear" w:color="auto" w:fill="FFFFFF"/>
          <w:lang w:eastAsia="zh-CN"/>
        </w:rPr>
        <w:t>）</w:t>
      </w:r>
      <w:r>
        <w:rPr>
          <w:rFonts w:hint="eastAsia" w:ascii="楷体_GB2312" w:hAnsi="楷体_GB2312" w:eastAsia="楷体_GB2312" w:cs="楷体_GB2312"/>
          <w:sz w:val="32"/>
          <w:szCs w:val="32"/>
          <w:shd w:val="clear" w:color="auto" w:fill="FFFFFF"/>
        </w:rPr>
        <w:t>政府信息管理</w:t>
      </w:r>
    </w:p>
    <w:p w14:paraId="0EB9ACC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构建并严格落实政务信息动态调整机制和信息管理动态调整机制，</w:t>
      </w:r>
      <w:r>
        <w:rPr>
          <w:rFonts w:hint="eastAsia" w:ascii="仿宋_GB2312" w:hAnsi="仿宋_GB2312" w:eastAsia="仿宋_GB2312" w:cs="仿宋_GB2312"/>
          <w:sz w:val="32"/>
          <w:szCs w:val="32"/>
          <w:highlight w:val="none"/>
        </w:rPr>
        <w:t>确保信息准确、及时更新。同时，建立健全政府信息全生命周期管理制度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进一步完善政府信息主动公开目录，健全政府信息公开保密审查制度，</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rPr>
        <w:t>按照《条例》规定理顺工作机制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提高政务公开时效性。</w:t>
      </w:r>
    </w:p>
    <w:p w14:paraId="2CFC59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（四）政府信息公开平台建设</w:t>
      </w:r>
    </w:p>
    <w:p w14:paraId="628D4F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借助政府门户网站及“安丘</w:t>
      </w:r>
      <w:r>
        <w:rPr>
          <w:rFonts w:hint="eastAsia" w:ascii="仿宋_GB2312" w:hAnsi="仿宋_GB2312" w:eastAsia="仿宋_GB2312" w:cs="仿宋_GB2312"/>
          <w:sz w:val="32"/>
          <w:szCs w:val="32"/>
          <w:shd w:val="clear" w:color="auto" w:fill="FFFFFF"/>
          <w:lang w:val="en-US" w:eastAsia="zh-CN"/>
        </w:rPr>
        <w:t>医疗保障</w:t>
      </w:r>
      <w:r>
        <w:rPr>
          <w:rFonts w:hint="eastAsia" w:ascii="仿宋_GB2312" w:hAnsi="仿宋_GB2312" w:eastAsia="仿宋_GB2312" w:cs="仿宋_GB2312"/>
          <w:sz w:val="32"/>
          <w:szCs w:val="32"/>
          <w:shd w:val="clear" w:color="auto" w:fill="FFFFFF"/>
        </w:rPr>
        <w:t>”微信公众号等政务新媒体渠道，广泛发布各类医保政策资讯，确保公众能够便捷地查阅到最新的医保动态，进一步增强工作透明度与公众参与度。</w:t>
      </w:r>
    </w:p>
    <w:p w14:paraId="46C8DC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rPr>
        <w:t>（五）监督保障</w:t>
      </w:r>
    </w:p>
    <w:p w14:paraId="42BACC4A">
      <w:pPr>
        <w:spacing w:line="560" w:lineRule="exact"/>
        <w:ind w:firstLine="640" w:firstLineChars="200"/>
        <w:rPr>
          <w:rFonts w:hint="eastAsia" w:ascii="黑体" w:hAnsi="黑体" w:eastAsia="黑体" w:cs="黑体"/>
          <w:sz w:val="32"/>
          <w:szCs w:val="32"/>
          <w:shd w:val="clear" w:color="auto" w:fill="FFFFFF"/>
        </w:rPr>
      </w:pPr>
      <w:r>
        <w:rPr>
          <w:rFonts w:hint="eastAsia" w:ascii="仿宋_GB2312" w:hAnsi="仿宋_GB2312" w:eastAsia="仿宋_GB2312" w:cs="仿宋_GB2312"/>
          <w:sz w:val="32"/>
          <w:szCs w:val="32"/>
          <w:shd w:val="clear" w:color="auto" w:fill="FFFFFF"/>
        </w:rPr>
        <w:t>政务公开工作</w:t>
      </w:r>
      <w:r>
        <w:rPr>
          <w:rFonts w:hint="eastAsia" w:ascii="仿宋_GB2312" w:hAnsi="仿宋_GB2312" w:eastAsia="仿宋_GB2312" w:cs="仿宋_GB2312"/>
          <w:sz w:val="32"/>
          <w:szCs w:val="32"/>
          <w:shd w:val="clear" w:color="auto" w:fill="FFFFFF"/>
          <w:lang w:val="en-US" w:eastAsia="zh-CN"/>
        </w:rPr>
        <w:t>由政务公开</w:t>
      </w:r>
      <w:r>
        <w:rPr>
          <w:rFonts w:hint="eastAsia" w:ascii="仿宋_GB2312" w:hAnsi="仿宋_GB2312" w:eastAsia="仿宋_GB2312" w:cs="仿宋_GB2312"/>
          <w:sz w:val="32"/>
          <w:szCs w:val="32"/>
          <w:shd w:val="clear" w:color="auto" w:fill="FFFFFF"/>
        </w:rPr>
        <w:t>领导小组</w:t>
      </w:r>
      <w:r>
        <w:rPr>
          <w:rFonts w:hint="eastAsia" w:ascii="仿宋_GB2312" w:hAnsi="仿宋_GB2312" w:eastAsia="仿宋_GB2312" w:cs="仿宋_GB2312"/>
          <w:sz w:val="32"/>
          <w:szCs w:val="32"/>
          <w:shd w:val="clear" w:color="auto" w:fill="FFFFFF"/>
          <w:lang w:val="en-US" w:eastAsia="zh-CN"/>
        </w:rPr>
        <w:t>负责监督</w:t>
      </w:r>
      <w:r>
        <w:rPr>
          <w:rFonts w:hint="eastAsia" w:ascii="仿宋_GB2312" w:hAnsi="仿宋_GB2312" w:eastAsia="仿宋_GB2312" w:cs="仿宋_GB2312"/>
          <w:sz w:val="32"/>
          <w:szCs w:val="32"/>
          <w:shd w:val="clear" w:color="auto" w:fill="FFFFFF"/>
        </w:rPr>
        <w:t>，政务公开领导小组办公室</w:t>
      </w:r>
      <w:r>
        <w:rPr>
          <w:rFonts w:hint="eastAsia" w:ascii="仿宋_GB2312" w:hAnsi="仿宋_GB2312" w:eastAsia="仿宋_GB2312" w:cs="仿宋_GB2312"/>
          <w:sz w:val="32"/>
          <w:szCs w:val="32"/>
          <w:shd w:val="clear" w:color="auto" w:fill="FFFFFF"/>
          <w:lang w:val="en-US" w:eastAsia="zh-CN"/>
        </w:rPr>
        <w:t>具体负责</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定期、不定期</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自我检查</w:t>
      </w:r>
      <w:r>
        <w:rPr>
          <w:rFonts w:hint="eastAsia" w:ascii="仿宋_GB2312" w:hAnsi="仿宋_GB2312" w:eastAsia="仿宋_GB2312" w:cs="仿宋_GB2312"/>
          <w:sz w:val="32"/>
          <w:szCs w:val="32"/>
          <w:lang w:val="en-US" w:eastAsia="zh-CN"/>
        </w:rPr>
        <w:t>和社会评议工作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年无责任追究情况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围绕政务公开工作重点，</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rPr>
        <w:t>培训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次，培训</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余人次，不断强化对各科室和政务公开具体责任人的业务指导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保障工作人员与经费充足。</w:t>
      </w:r>
    </w:p>
    <w:p w14:paraId="40D454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8"/>
        <w:tblW w:w="9040" w:type="dxa"/>
        <w:jc w:val="center"/>
        <w:tblLayout w:type="autofit"/>
        <w:tblCellMar>
          <w:top w:w="0" w:type="dxa"/>
          <w:left w:w="0" w:type="dxa"/>
          <w:bottom w:w="0" w:type="dxa"/>
          <w:right w:w="0" w:type="dxa"/>
        </w:tblCellMar>
      </w:tblPr>
      <w:tblGrid>
        <w:gridCol w:w="2260"/>
        <w:gridCol w:w="2260"/>
        <w:gridCol w:w="2260"/>
        <w:gridCol w:w="2260"/>
      </w:tblGrid>
      <w:tr w14:paraId="49CC811C">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08336AA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第二十条第（一）项</w:t>
            </w:r>
          </w:p>
        </w:tc>
      </w:tr>
      <w:tr w14:paraId="322DC0F8">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6FD1318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4239D14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2A6D225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14:paraId="6E7FF39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现行有效件数</w:t>
            </w:r>
          </w:p>
        </w:tc>
      </w:tr>
      <w:tr w14:paraId="471B0BD0">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34150E7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14:paraId="71649FB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66F514B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1BE1881E">
            <w:pPr>
              <w:widowControl/>
              <w:jc w:val="center"/>
              <w:rPr>
                <w:rFonts w:hint="eastAsia" w:ascii="仿宋_GB2312" w:hAnsi="仿宋_GB2312" w:eastAsia="仿宋_GB2312" w:cs="仿宋_GB2312"/>
              </w:rPr>
            </w:pPr>
            <w:r>
              <w:rPr>
                <w:rFonts w:hint="eastAsia" w:ascii="仿宋_GB2312" w:hAnsi="仿宋_GB2312" w:eastAsia="仿宋_GB2312" w:cs="仿宋_GB2312"/>
                <w:kern w:val="0"/>
                <w:szCs w:val="21"/>
                <w:lang w:bidi="ar"/>
              </w:rPr>
              <w:t>0</w:t>
            </w:r>
          </w:p>
        </w:tc>
      </w:tr>
      <w:tr w14:paraId="3C9CAA34">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45ECA09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14:paraId="2FFDA78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5425969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14:paraId="5E3C32F6">
            <w:pPr>
              <w:widowControl/>
              <w:jc w:val="center"/>
              <w:rPr>
                <w:rFonts w:hint="eastAsia" w:ascii="仿宋_GB2312" w:hAnsi="仿宋_GB2312" w:eastAsia="仿宋_GB2312" w:cs="仿宋_GB2312"/>
              </w:rPr>
            </w:pPr>
            <w:r>
              <w:rPr>
                <w:rFonts w:hint="eastAsia" w:ascii="仿宋_GB2312" w:hAnsi="仿宋_GB2312" w:eastAsia="仿宋_GB2312" w:cs="仿宋_GB2312"/>
                <w:kern w:val="0"/>
                <w:szCs w:val="21"/>
                <w:lang w:bidi="ar"/>
              </w:rPr>
              <w:t>0</w:t>
            </w:r>
          </w:p>
        </w:tc>
      </w:tr>
      <w:tr w14:paraId="2E0490A7">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5954A2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第二十条第（五）项</w:t>
            </w:r>
          </w:p>
        </w:tc>
      </w:tr>
      <w:tr w14:paraId="087C704E">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4D5C05E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0FF4B61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本年处理决定数量</w:t>
            </w:r>
          </w:p>
        </w:tc>
      </w:tr>
      <w:tr w14:paraId="68F60A8C">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2A0B0D0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0A7D56ED">
            <w:pPr>
              <w:widowControl/>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2B3A4985">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55E99D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第二十条第（六）项</w:t>
            </w:r>
          </w:p>
        </w:tc>
      </w:tr>
      <w:tr w14:paraId="46DECE9D">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0202C24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43CBB72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本年处理决定数量</w:t>
            </w:r>
          </w:p>
        </w:tc>
      </w:tr>
      <w:tr w14:paraId="1451BF6B">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48BE759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72FA3F25">
            <w:pPr>
              <w:widowControl/>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6</w:t>
            </w:r>
          </w:p>
        </w:tc>
      </w:tr>
      <w:tr w14:paraId="4300A231">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33E428A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14:paraId="4CF94EF4">
            <w:pPr>
              <w:widowControl/>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73F77B32">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C60BF6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第二十条第（八）项</w:t>
            </w:r>
          </w:p>
        </w:tc>
      </w:tr>
      <w:tr w14:paraId="4A546CEC">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1B749F5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09372CC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本年收费金额（单位：万元）</w:t>
            </w:r>
          </w:p>
        </w:tc>
      </w:tr>
      <w:tr w14:paraId="5B87ABF3">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14:paraId="1D22806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14:paraId="0A712462">
            <w:pPr>
              <w:jc w:val="center"/>
              <w:rPr>
                <w:rFonts w:hint="eastAsia" w:ascii="仿宋_GB2312" w:hAnsi="仿宋_GB2312" w:eastAsia="仿宋_GB2312" w:cs="仿宋_GB2312"/>
                <w:sz w:val="24"/>
              </w:rPr>
            </w:pPr>
            <w:r>
              <w:rPr>
                <w:rFonts w:hint="eastAsia" w:ascii="仿宋_GB2312" w:hAnsi="仿宋_GB2312" w:eastAsia="仿宋_GB2312" w:cs="仿宋_GB2312"/>
              </w:rPr>
              <w:t>0</w:t>
            </w:r>
          </w:p>
        </w:tc>
      </w:tr>
    </w:tbl>
    <w:p w14:paraId="79724FBF">
      <w:pPr>
        <w:ind w:firstLine="640" w:firstLineChars="200"/>
        <w:jc w:val="left"/>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00CDB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C476687">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14:paraId="3CC03DA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申请人情况</w:t>
            </w:r>
          </w:p>
        </w:tc>
      </w:tr>
      <w:tr w14:paraId="423C36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5BDB6C8E">
            <w:pPr>
              <w:rPr>
                <w:rFonts w:hint="eastAsia" w:ascii="仿宋_GB2312" w:hAnsi="仿宋_GB2312" w:eastAsia="仿宋_GB2312" w:cs="仿宋_GB2312"/>
                <w:sz w:val="24"/>
              </w:rPr>
            </w:pPr>
          </w:p>
        </w:tc>
        <w:tc>
          <w:tcPr>
            <w:tcW w:w="688" w:type="dxa"/>
            <w:vMerge w:val="restart"/>
            <w:tcBorders>
              <w:top w:val="single" w:color="auto" w:sz="4" w:space="0"/>
              <w:left w:val="single" w:color="auto" w:sz="4" w:space="0"/>
              <w:bottom w:val="single" w:color="auto" w:sz="8" w:space="0"/>
              <w:right w:val="single" w:color="auto" w:sz="8" w:space="0"/>
            </w:tcBorders>
            <w:tcMar>
              <w:left w:w="57" w:type="dxa"/>
              <w:right w:w="57" w:type="dxa"/>
            </w:tcMar>
            <w:vAlign w:val="center"/>
          </w:tcPr>
          <w:p w14:paraId="3ED1AFC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自然人</w:t>
            </w:r>
          </w:p>
        </w:tc>
        <w:tc>
          <w:tcPr>
            <w:tcW w:w="3440" w:type="dxa"/>
            <w:gridSpan w:val="5"/>
            <w:tcBorders>
              <w:top w:val="single" w:color="auto" w:sz="4" w:space="0"/>
              <w:left w:val="nil"/>
              <w:bottom w:val="single" w:color="auto" w:sz="8" w:space="0"/>
              <w:right w:val="single" w:color="auto" w:sz="4" w:space="0"/>
            </w:tcBorders>
            <w:tcMar>
              <w:left w:w="57" w:type="dxa"/>
              <w:right w:w="57" w:type="dxa"/>
            </w:tcMar>
            <w:vAlign w:val="center"/>
          </w:tcPr>
          <w:p w14:paraId="6872C86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法人或其他组织</w:t>
            </w:r>
          </w:p>
        </w:tc>
        <w:tc>
          <w:tcPr>
            <w:tcW w:w="689" w:type="dxa"/>
            <w:vMerge w:val="restart"/>
            <w:tcBorders>
              <w:top w:val="single" w:color="auto" w:sz="8" w:space="0"/>
              <w:left w:val="single" w:color="auto" w:sz="4" w:space="0"/>
              <w:bottom w:val="outset" w:color="auto" w:sz="8" w:space="0"/>
              <w:right w:val="single" w:color="auto" w:sz="8" w:space="0"/>
            </w:tcBorders>
            <w:tcMar>
              <w:left w:w="57" w:type="dxa"/>
              <w:right w:w="57" w:type="dxa"/>
            </w:tcMar>
            <w:vAlign w:val="center"/>
          </w:tcPr>
          <w:p w14:paraId="7710C4C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总计</w:t>
            </w:r>
          </w:p>
        </w:tc>
      </w:tr>
      <w:tr w14:paraId="799D7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4" w:space="0"/>
              <w:right w:val="single" w:color="auto" w:sz="4" w:space="0"/>
            </w:tcBorders>
            <w:tcMar>
              <w:left w:w="108" w:type="dxa"/>
              <w:right w:w="108" w:type="dxa"/>
            </w:tcMar>
            <w:vAlign w:val="center"/>
          </w:tcPr>
          <w:p w14:paraId="7C0BF66F">
            <w:pPr>
              <w:rPr>
                <w:rFonts w:hint="eastAsia" w:ascii="仿宋_GB2312" w:hAnsi="仿宋_GB2312" w:eastAsia="仿宋_GB2312" w:cs="仿宋_GB2312"/>
                <w:sz w:val="24"/>
              </w:rPr>
            </w:pPr>
          </w:p>
        </w:tc>
        <w:tc>
          <w:tcPr>
            <w:tcW w:w="688"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0699479F">
            <w:pPr>
              <w:rPr>
                <w:rFonts w:hint="eastAsia" w:ascii="仿宋_GB2312" w:hAnsi="仿宋_GB2312" w:eastAsia="仿宋_GB2312" w:cs="仿宋_GB2312"/>
                <w:sz w:val="24"/>
              </w:rPr>
            </w:pP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C4D1A2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商业</w:t>
            </w:r>
          </w:p>
          <w:p w14:paraId="1744F49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企业</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B77B2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科研</w:t>
            </w:r>
          </w:p>
          <w:p w14:paraId="2B09756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机构</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3F1573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社会公益组织</w:t>
            </w:r>
          </w:p>
        </w:tc>
        <w:tc>
          <w:tcPr>
            <w:tcW w:w="68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14:paraId="1161DA0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法律服务机构</w:t>
            </w:r>
          </w:p>
        </w:tc>
        <w:tc>
          <w:tcPr>
            <w:tcW w:w="688" w:type="dxa"/>
            <w:tcBorders>
              <w:top w:val="single" w:color="auto" w:sz="8" w:space="0"/>
              <w:left w:val="single" w:color="auto" w:sz="4" w:space="0"/>
              <w:bottom w:val="single" w:color="auto" w:sz="4" w:space="0"/>
              <w:right w:val="single" w:color="auto" w:sz="4" w:space="0"/>
            </w:tcBorders>
            <w:tcMar>
              <w:left w:w="57" w:type="dxa"/>
              <w:right w:w="57" w:type="dxa"/>
            </w:tcMar>
            <w:vAlign w:val="center"/>
          </w:tcPr>
          <w:p w14:paraId="2742699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其他</w:t>
            </w:r>
          </w:p>
        </w:tc>
        <w:tc>
          <w:tcPr>
            <w:tcW w:w="689" w:type="dxa"/>
            <w:vMerge w:val="continue"/>
            <w:tcBorders>
              <w:top w:val="single" w:color="auto" w:sz="8" w:space="0"/>
              <w:left w:val="single" w:color="auto" w:sz="4" w:space="0"/>
              <w:bottom w:val="single" w:color="auto" w:sz="4" w:space="0"/>
              <w:right w:val="single" w:color="auto" w:sz="8" w:space="0"/>
            </w:tcBorders>
            <w:tcMar>
              <w:left w:w="57" w:type="dxa"/>
              <w:right w:w="57" w:type="dxa"/>
            </w:tcMar>
            <w:vAlign w:val="center"/>
          </w:tcPr>
          <w:p w14:paraId="6B4EA980">
            <w:pPr>
              <w:rPr>
                <w:rFonts w:hint="eastAsia" w:ascii="仿宋_GB2312" w:hAnsi="仿宋_GB2312" w:eastAsia="仿宋_GB2312" w:cs="仿宋_GB2312"/>
                <w:sz w:val="24"/>
              </w:rPr>
            </w:pPr>
          </w:p>
        </w:tc>
      </w:tr>
      <w:tr w14:paraId="107500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8" w:space="0"/>
              <w:right w:val="single" w:color="auto" w:sz="4" w:space="0"/>
            </w:tcBorders>
            <w:tcMar>
              <w:left w:w="57" w:type="dxa"/>
              <w:right w:w="57" w:type="dxa"/>
            </w:tcMar>
            <w:vAlign w:val="center"/>
          </w:tcPr>
          <w:p w14:paraId="01CD721D">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359CF54">
            <w:pPr>
              <w:widowControl/>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5A86D1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E9AEA4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9754FB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0EABFB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14:paraId="4467876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single" w:color="auto" w:sz="4" w:space="0"/>
              <w:left w:val="nil"/>
              <w:bottom w:val="single" w:color="auto" w:sz="4" w:space="0"/>
              <w:right w:val="single" w:color="auto" w:sz="4" w:space="0"/>
            </w:tcBorders>
            <w:tcMar>
              <w:left w:w="57" w:type="dxa"/>
              <w:right w:w="57" w:type="dxa"/>
            </w:tcMar>
            <w:vAlign w:val="center"/>
          </w:tcPr>
          <w:p w14:paraId="14CBC822">
            <w:pPr>
              <w:widowControl/>
              <w:jc w:val="center"/>
              <w:rPr>
                <w:rFonts w:hint="eastAsia" w:ascii="仿宋_GB2312" w:hAnsi="仿宋_GB2312" w:eastAsia="仿宋_GB2312" w:cs="仿宋_GB2312"/>
                <w:lang w:eastAsia="zh-CN"/>
              </w:rPr>
            </w:pPr>
            <w:r>
              <w:rPr>
                <w:rFonts w:hint="eastAsia" w:ascii="仿宋_GB2312" w:hAnsi="仿宋_GB2312" w:eastAsia="仿宋_GB2312" w:cs="仿宋_GB2312"/>
                <w:kern w:val="0"/>
                <w:sz w:val="20"/>
                <w:szCs w:val="20"/>
                <w:lang w:val="en-US" w:eastAsia="zh-CN" w:bidi="ar"/>
              </w:rPr>
              <w:t>0</w:t>
            </w:r>
          </w:p>
        </w:tc>
      </w:tr>
      <w:tr w14:paraId="4143E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4" w:space="0"/>
              <w:bottom w:val="single" w:color="auto" w:sz="4" w:space="0"/>
              <w:right w:val="single" w:color="auto" w:sz="4" w:space="0"/>
            </w:tcBorders>
            <w:tcMar>
              <w:left w:w="57" w:type="dxa"/>
              <w:right w:w="57" w:type="dxa"/>
            </w:tcMar>
            <w:vAlign w:val="center"/>
          </w:tcPr>
          <w:p w14:paraId="138A1ADF">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二、上年结转政府信息公开申请数量</w:t>
            </w:r>
          </w:p>
        </w:tc>
        <w:tc>
          <w:tcPr>
            <w:tcW w:w="688" w:type="dxa"/>
            <w:tcBorders>
              <w:top w:val="single" w:color="auto" w:sz="4" w:space="0"/>
              <w:left w:val="single" w:color="auto" w:sz="4" w:space="0"/>
              <w:bottom w:val="single" w:color="auto" w:sz="8" w:space="0"/>
              <w:right w:val="single" w:color="auto" w:sz="8" w:space="0"/>
            </w:tcBorders>
            <w:tcMar>
              <w:left w:w="57" w:type="dxa"/>
              <w:right w:w="57" w:type="dxa"/>
            </w:tcMar>
            <w:vAlign w:val="center"/>
          </w:tcPr>
          <w:p w14:paraId="65EA48B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7D78CC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87AE02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F7BB4C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2E3AAD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075B60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center"/>
          </w:tcPr>
          <w:p w14:paraId="49726FBA">
            <w:pPr>
              <w:widowControl/>
              <w:jc w:val="center"/>
              <w:rPr>
                <w:rFonts w:hint="eastAsia" w:ascii="仿宋_GB2312" w:hAnsi="仿宋_GB2312" w:eastAsia="仿宋_GB2312" w:cs="仿宋_GB2312"/>
              </w:rPr>
            </w:pPr>
            <w:r>
              <w:rPr>
                <w:rFonts w:hint="eastAsia" w:ascii="仿宋_GB2312" w:hAnsi="仿宋_GB2312" w:eastAsia="仿宋_GB2312" w:cs="仿宋_GB2312"/>
              </w:rPr>
              <w:t>0</w:t>
            </w:r>
          </w:p>
        </w:tc>
      </w:tr>
      <w:tr w14:paraId="6B13C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8" w:space="0"/>
              <w:bottom w:val="single" w:color="auto" w:sz="4" w:space="0"/>
              <w:right w:val="single" w:color="auto" w:sz="8" w:space="0"/>
            </w:tcBorders>
            <w:tcMar>
              <w:left w:w="57" w:type="dxa"/>
              <w:right w:w="57" w:type="dxa"/>
            </w:tcMar>
            <w:vAlign w:val="center"/>
          </w:tcPr>
          <w:p w14:paraId="3D583E21">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三、本年度办理结果</w:t>
            </w:r>
          </w:p>
        </w:tc>
        <w:tc>
          <w:tcPr>
            <w:tcW w:w="4163" w:type="dxa"/>
            <w:gridSpan w:val="2"/>
            <w:tcBorders>
              <w:top w:val="single" w:color="auto" w:sz="4" w:space="0"/>
              <w:left w:val="nil"/>
              <w:bottom w:val="single" w:color="auto" w:sz="4" w:space="0"/>
              <w:right w:val="single" w:color="auto" w:sz="8" w:space="0"/>
            </w:tcBorders>
            <w:tcMar>
              <w:left w:w="57" w:type="dxa"/>
              <w:right w:w="57" w:type="dxa"/>
            </w:tcMar>
            <w:vAlign w:val="center"/>
          </w:tcPr>
          <w:p w14:paraId="0174B32C">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17876DF1">
            <w:pPr>
              <w:widowControl/>
              <w:jc w:val="center"/>
              <w:rPr>
                <w:rFonts w:hint="eastAsia" w:ascii="仿宋_GB2312" w:hAnsi="仿宋_GB2312" w:eastAsia="仿宋_GB2312" w:cs="仿宋_GB2312"/>
                <w:lang w:eastAsia="zh-CN"/>
              </w:rPr>
            </w:pPr>
            <w:r>
              <w:rPr>
                <w:rFonts w:hint="eastAsia" w:ascii="仿宋_GB2312" w:hAnsi="仿宋_GB2312" w:eastAsia="仿宋_GB2312" w:cs="仿宋_GB2312"/>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42CF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785F4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326B3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8F8CD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FCE3E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487C594E">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14:paraId="570FE6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8" w:space="0"/>
              <w:bottom w:val="outset" w:color="auto" w:sz="8" w:space="0"/>
              <w:right w:val="single" w:color="auto" w:sz="8" w:space="0"/>
            </w:tcBorders>
            <w:tcMar>
              <w:left w:w="57" w:type="dxa"/>
              <w:right w:w="57" w:type="dxa"/>
            </w:tcMar>
            <w:vAlign w:val="center"/>
          </w:tcPr>
          <w:p w14:paraId="783513BA">
            <w:pPr>
              <w:rPr>
                <w:rFonts w:hint="eastAsia" w:ascii="仿宋_GB2312" w:hAnsi="仿宋_GB2312" w:eastAsia="仿宋_GB2312" w:cs="仿宋_GB2312"/>
                <w:sz w:val="24"/>
              </w:rPr>
            </w:pPr>
          </w:p>
        </w:tc>
        <w:tc>
          <w:tcPr>
            <w:tcW w:w="4163" w:type="dxa"/>
            <w:gridSpan w:val="2"/>
            <w:tcBorders>
              <w:top w:val="single" w:color="auto" w:sz="4" w:space="0"/>
              <w:left w:val="nil"/>
              <w:bottom w:val="single" w:color="auto" w:sz="8" w:space="0"/>
              <w:right w:val="single" w:color="auto" w:sz="8" w:space="0"/>
            </w:tcBorders>
            <w:tcMar>
              <w:left w:w="57" w:type="dxa"/>
              <w:right w:w="57" w:type="dxa"/>
            </w:tcMar>
            <w:vAlign w:val="center"/>
          </w:tcPr>
          <w:p w14:paraId="5679447F">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（二）部分公开（区分处理的，只计这一情形，不计其他情形）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42E06C0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0B6AC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9F591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04B6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FC36D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3DD77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4133EDFF">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3EFFA7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E72C2A">
            <w:pPr>
              <w:rPr>
                <w:rFonts w:hint="eastAsia" w:ascii="仿宋_GB2312" w:hAnsi="仿宋_GB2312" w:eastAsia="仿宋_GB2312" w:cs="仿宋_GB2312"/>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D3F83B0">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14:paraId="14A86BE0">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231E074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B1C57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DAE01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633AC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C181F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69345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14:paraId="697D788B">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335EE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5B75176">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F78C3BC">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278ED625">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7F430E9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EF483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9DA44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8314C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572A0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BD90A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5968013D">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7FE274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4FBA463">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2F80205">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4C51D5B2">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41864EC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0B94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186AA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0FE13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B560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88122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5C8B5C9E">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ACF70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52445AD">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029E176">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582DF9BF">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2C8FB67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5BE5D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494C7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E38B9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CD923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E1098C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7521CA9A">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C28C2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B14B390">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E32CA2C">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7AD06113">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597B93B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CF33E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2FC58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DE4A9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03DC1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E8C65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31996D0D">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0EECCE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0745CD">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FC6FE3E">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3D7B7979">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52AE729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96DBD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BBEE9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38404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3F465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D25D6C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3ACF34C9">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25381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13BC4A">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944859F">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0C268BC2">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4DFA608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3F67F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7B034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449A7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1C768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46149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44195D36">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2D49A3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44AA00">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3CAD4D5">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2B589AED">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645FD76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8FB0D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33EE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84E98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DE5BE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F67C6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62012C0D">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E7131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06F4FD1">
            <w:pPr>
              <w:rPr>
                <w:rFonts w:hint="eastAsia" w:ascii="仿宋_GB2312" w:hAnsi="仿宋_GB2312" w:eastAsia="仿宋_GB2312" w:cs="仿宋_GB2312"/>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23E99FB7">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14:paraId="04EABCBE">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5360BAF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1FBD5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2D3361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0F742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F05331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4A79A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06E5A8D4">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6ECFA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B7870A">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C850C69">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77C3113D">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61E16CC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D61CA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6E92C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FA94E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12637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D87E5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3715BB7E">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5BF5B9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433EE9">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0787BF49">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474C427A">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846918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AD5CB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6702A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AC52A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CF17A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0BBA5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6F0FD193">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03990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C5E6F9">
            <w:pPr>
              <w:rPr>
                <w:rFonts w:hint="eastAsia" w:ascii="仿宋_GB2312" w:hAnsi="仿宋_GB2312" w:eastAsia="仿宋_GB2312" w:cs="仿宋_GB2312"/>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049FC8C">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14:paraId="4E9E4498">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07902C9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0A952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A81F2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D106F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370A5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BE7BC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572D30E2">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7CB44D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F5F53D">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D6927EB">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7A040377">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06C2FE3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6E519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0868E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F914A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D7B9B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50443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79DEC012">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FF852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9A932E">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C07505E">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3FE72485">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7678FF6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FDCB4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E9E6C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7F6D1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77E6B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68D50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368512D0">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032999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232EE9">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044C7A6">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tcPr>
          <w:p w14:paraId="20CCACD5">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793F98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43F7F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7C1EC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1F0FF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A91F2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44300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1B5F6B02">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4C4BB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FE3D5A6">
            <w:pPr>
              <w:rPr>
                <w:rFonts w:hint="eastAsia" w:ascii="仿宋_GB2312" w:hAnsi="仿宋_GB2312" w:eastAsia="仿宋_GB2312" w:cs="仿宋_GB2312"/>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4E07D9D">
            <w:pPr>
              <w:rPr>
                <w:rFonts w:hint="eastAsia" w:ascii="仿宋_GB2312" w:hAnsi="仿宋_GB2312" w:eastAsia="仿宋_GB2312" w:cs="仿宋_GB2312"/>
                <w:sz w:val="24"/>
              </w:rPr>
            </w:pPr>
          </w:p>
        </w:tc>
        <w:tc>
          <w:tcPr>
            <w:tcW w:w="3220" w:type="dxa"/>
            <w:tcBorders>
              <w:top w:val="nil"/>
              <w:left w:val="nil"/>
              <w:bottom w:val="outset" w:color="auto" w:sz="8" w:space="0"/>
              <w:right w:val="single" w:color="auto" w:sz="8" w:space="0"/>
            </w:tcBorders>
            <w:tcMar>
              <w:left w:w="57" w:type="dxa"/>
              <w:right w:w="57" w:type="dxa"/>
            </w:tcMar>
            <w:vAlign w:val="center"/>
          </w:tcPr>
          <w:p w14:paraId="51F74553">
            <w:pPr>
              <w:widowControl/>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7FE4728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14:paraId="4EECF43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14:paraId="5F414EC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14:paraId="45B2C2F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14:paraId="55E83B8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14:paraId="59C3D45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14:paraId="13246555">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0275A2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E0DF5B">
            <w:pPr>
              <w:rPr>
                <w:rFonts w:hint="eastAsia" w:ascii="仿宋_GB2312" w:hAnsi="仿宋_GB2312" w:eastAsia="仿宋_GB2312" w:cs="仿宋_GB2312"/>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1DE11A28">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14:paraId="2FC90A2D">
            <w:pPr>
              <w:widowControl/>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07D093D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0C129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685C1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D7972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1B383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B1C97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7537DBAF">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2EC297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CBD74E0">
            <w:pPr>
              <w:rPr>
                <w:rFonts w:hint="eastAsia" w:ascii="仿宋_GB2312" w:hAnsi="仿宋_GB2312" w:eastAsia="仿宋_GB2312" w:cs="仿宋_GB2312"/>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81A1A3E">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170F4DE8">
            <w:pPr>
              <w:widowControl/>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910C24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C3E4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6BB2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F15BA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7DA85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E77C3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53D24D58">
            <w:pPr>
              <w:jc w:val="center"/>
              <w:rPr>
                <w:rFonts w:hint="eastAsia" w:ascii="仿宋_GB2312" w:hAnsi="仿宋_GB2312" w:eastAsia="仿宋_GB2312" w:cs="仿宋_GB2312"/>
                <w:kern w:val="0"/>
                <w:sz w:val="20"/>
                <w:szCs w:val="20"/>
                <w:lang w:bidi="ar"/>
              </w:rPr>
            </w:pPr>
          </w:p>
          <w:p w14:paraId="51E7D1FD">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5FB41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4378354">
            <w:pPr>
              <w:rPr>
                <w:rFonts w:hint="eastAsia" w:ascii="仿宋_GB2312" w:hAnsi="仿宋_GB2312" w:eastAsia="仿宋_GB2312" w:cs="仿宋_GB2312"/>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2BCCD71">
            <w:pPr>
              <w:rPr>
                <w:rFonts w:hint="eastAsia" w:ascii="仿宋_GB2312" w:hAnsi="仿宋_GB2312" w:eastAsia="仿宋_GB2312" w:cs="仿宋_GB2312"/>
                <w:sz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45138733">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544C31A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DD35B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B19E2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9163D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168E3C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5C159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4924E5C3">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r w14:paraId="564FF1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BC79AD4">
            <w:pPr>
              <w:rPr>
                <w:rFonts w:hint="eastAsia" w:ascii="仿宋_GB2312" w:hAnsi="仿宋_GB2312" w:eastAsia="仿宋_GB2312" w:cs="仿宋_GB2312"/>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34DDDFC6">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19148D89">
            <w:pPr>
              <w:widowControl/>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B30F58">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7D12C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B5A7E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86009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2363B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77260D3B">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0"/>
                <w:szCs w:val="20"/>
                <w:lang w:val="en-US" w:eastAsia="zh-CN" w:bidi="ar"/>
              </w:rPr>
              <w:t>0</w:t>
            </w:r>
          </w:p>
        </w:tc>
      </w:tr>
      <w:tr w14:paraId="5F242F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F96D2C3">
            <w:pPr>
              <w:widowControl/>
              <w:jc w:val="left"/>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55C9495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EF37C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FE15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B834E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76441A">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EB72E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14:paraId="4FC1AC7B">
            <w:pPr>
              <w:jc w:val="center"/>
              <w:rPr>
                <w:rFonts w:hint="eastAsia" w:ascii="仿宋_GB2312" w:hAnsi="仿宋_GB2312" w:eastAsia="仿宋_GB2312" w:cs="仿宋_GB2312"/>
                <w:sz w:val="24"/>
              </w:rPr>
            </w:pPr>
            <w:r>
              <w:rPr>
                <w:rFonts w:hint="eastAsia" w:ascii="仿宋_GB2312" w:hAnsi="仿宋_GB2312" w:eastAsia="仿宋_GB2312" w:cs="仿宋_GB2312"/>
                <w:kern w:val="0"/>
                <w:sz w:val="20"/>
                <w:szCs w:val="20"/>
                <w:lang w:bidi="ar"/>
              </w:rPr>
              <w:t>0</w:t>
            </w:r>
          </w:p>
        </w:tc>
      </w:tr>
    </w:tbl>
    <w:p w14:paraId="3C2A3C77">
      <w:pPr>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1431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05E2B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800DE7">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行政诉讼</w:t>
            </w:r>
          </w:p>
        </w:tc>
      </w:tr>
      <w:tr w14:paraId="59700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78B341A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结果维持</w:t>
            </w:r>
          </w:p>
        </w:tc>
        <w:tc>
          <w:tcPr>
            <w:tcW w:w="642" w:type="dxa"/>
            <w:vMerge w:val="restart"/>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11568162">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纠正</w:t>
            </w:r>
          </w:p>
        </w:tc>
        <w:tc>
          <w:tcPr>
            <w:tcW w:w="642" w:type="dxa"/>
            <w:vMerge w:val="restart"/>
            <w:tcBorders>
              <w:top w:val="single" w:color="auto" w:sz="4" w:space="0"/>
              <w:left w:val="single" w:color="auto" w:sz="4" w:space="0"/>
              <w:bottom w:val="single" w:color="auto" w:sz="8" w:space="0"/>
              <w:right w:val="single" w:color="auto" w:sz="8" w:space="0"/>
            </w:tcBorders>
            <w:tcMar>
              <w:left w:w="108" w:type="dxa"/>
              <w:right w:w="108" w:type="dxa"/>
            </w:tcMar>
            <w:vAlign w:val="center"/>
          </w:tcPr>
          <w:p w14:paraId="538EC1A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其他</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结果</w:t>
            </w:r>
          </w:p>
        </w:tc>
        <w:tc>
          <w:tcPr>
            <w:tcW w:w="642"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22572695">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尚未</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审结</w:t>
            </w:r>
          </w:p>
        </w:tc>
        <w:tc>
          <w:tcPr>
            <w:tcW w:w="642" w:type="dxa"/>
            <w:vMerge w:val="restart"/>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891F7B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总计</w:t>
            </w:r>
          </w:p>
        </w:tc>
        <w:tc>
          <w:tcPr>
            <w:tcW w:w="3213" w:type="dxa"/>
            <w:gridSpan w:val="5"/>
            <w:tcBorders>
              <w:top w:val="single" w:color="auto" w:sz="4" w:space="0"/>
              <w:left w:val="single" w:color="auto" w:sz="8" w:space="0"/>
              <w:bottom w:val="single" w:color="auto" w:sz="8" w:space="0"/>
              <w:right w:val="single" w:color="auto" w:sz="4" w:space="0"/>
            </w:tcBorders>
            <w:tcMar>
              <w:left w:w="108" w:type="dxa"/>
              <w:right w:w="108" w:type="dxa"/>
            </w:tcMar>
            <w:vAlign w:val="center"/>
          </w:tcPr>
          <w:p w14:paraId="10F73CE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未经复议直接起诉</w:t>
            </w:r>
          </w:p>
        </w:tc>
        <w:tc>
          <w:tcPr>
            <w:tcW w:w="3215" w:type="dxa"/>
            <w:gridSpan w:val="5"/>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63B4780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复议后起诉</w:t>
            </w:r>
          </w:p>
        </w:tc>
      </w:tr>
      <w:tr w14:paraId="4EDBF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6446D552">
            <w:pPr>
              <w:jc w:val="center"/>
              <w:rPr>
                <w:rFonts w:hint="eastAsia" w:ascii="仿宋_GB2312" w:hAnsi="仿宋_GB2312" w:eastAsia="仿宋_GB2312" w:cs="仿宋_GB2312"/>
                <w:sz w:val="24"/>
              </w:rPr>
            </w:pPr>
          </w:p>
        </w:tc>
        <w:tc>
          <w:tcPr>
            <w:tcW w:w="642"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7136A7FC">
            <w:pPr>
              <w:jc w:val="center"/>
              <w:rPr>
                <w:rFonts w:hint="eastAsia" w:ascii="仿宋_GB2312" w:hAnsi="仿宋_GB2312" w:eastAsia="仿宋_GB2312" w:cs="仿宋_GB2312"/>
                <w:sz w:val="24"/>
              </w:rPr>
            </w:pPr>
          </w:p>
        </w:tc>
        <w:tc>
          <w:tcPr>
            <w:tcW w:w="642" w:type="dxa"/>
            <w:vMerge w:val="continue"/>
            <w:tcBorders>
              <w:top w:val="single" w:color="auto" w:sz="8" w:space="0"/>
              <w:left w:val="single" w:color="auto" w:sz="4" w:space="0"/>
              <w:bottom w:val="single" w:color="auto" w:sz="4" w:space="0"/>
              <w:right w:val="single" w:color="auto" w:sz="8" w:space="0"/>
            </w:tcBorders>
            <w:tcMar>
              <w:left w:w="108" w:type="dxa"/>
              <w:right w:w="108" w:type="dxa"/>
            </w:tcMar>
            <w:vAlign w:val="center"/>
          </w:tcPr>
          <w:p w14:paraId="57100864">
            <w:pPr>
              <w:jc w:val="center"/>
              <w:rPr>
                <w:rFonts w:hint="eastAsia" w:ascii="仿宋_GB2312" w:hAnsi="仿宋_GB2312" w:eastAsia="仿宋_GB2312" w:cs="仿宋_GB2312"/>
                <w:sz w:val="24"/>
              </w:rPr>
            </w:pPr>
          </w:p>
        </w:tc>
        <w:tc>
          <w:tcPr>
            <w:tcW w:w="642"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5A699DF0">
            <w:pPr>
              <w:jc w:val="center"/>
              <w:rPr>
                <w:rFonts w:hint="eastAsia" w:ascii="仿宋_GB2312" w:hAnsi="仿宋_GB2312" w:eastAsia="仿宋_GB2312" w:cs="仿宋_GB2312"/>
                <w:sz w:val="24"/>
              </w:rPr>
            </w:pPr>
          </w:p>
        </w:tc>
        <w:tc>
          <w:tcPr>
            <w:tcW w:w="642" w:type="dxa"/>
            <w:vMerge w:val="continue"/>
            <w:tcBorders>
              <w:top w:val="single" w:color="auto" w:sz="8" w:space="0"/>
              <w:left w:val="single" w:color="auto" w:sz="8" w:space="0"/>
              <w:bottom w:val="single" w:color="auto" w:sz="4" w:space="0"/>
              <w:right w:val="single" w:color="auto" w:sz="4" w:space="0"/>
            </w:tcBorders>
            <w:tcMar>
              <w:left w:w="108" w:type="dxa"/>
              <w:right w:w="108" w:type="dxa"/>
            </w:tcMar>
            <w:vAlign w:val="center"/>
          </w:tcPr>
          <w:p w14:paraId="194A263C">
            <w:pPr>
              <w:jc w:val="center"/>
              <w:rPr>
                <w:rFonts w:hint="eastAsia" w:ascii="仿宋_GB2312" w:hAnsi="仿宋_GB2312" w:eastAsia="仿宋_GB2312" w:cs="仿宋_GB2312"/>
                <w:sz w:val="24"/>
              </w:rPr>
            </w:pPr>
          </w:p>
        </w:tc>
        <w:tc>
          <w:tcPr>
            <w:tcW w:w="642"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1C1BB8C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维持</w:t>
            </w:r>
          </w:p>
        </w:tc>
        <w:tc>
          <w:tcPr>
            <w:tcW w:w="642"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7EA57D70">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纠正</w:t>
            </w:r>
          </w:p>
        </w:tc>
        <w:tc>
          <w:tcPr>
            <w:tcW w:w="643" w:type="dxa"/>
            <w:tcBorders>
              <w:top w:val="single" w:color="auto" w:sz="8" w:space="0"/>
              <w:left w:val="single" w:color="auto" w:sz="4" w:space="0"/>
              <w:bottom w:val="single" w:color="auto" w:sz="4" w:space="0"/>
              <w:right w:val="single" w:color="auto" w:sz="4" w:space="0"/>
            </w:tcBorders>
            <w:tcMar>
              <w:left w:w="108" w:type="dxa"/>
              <w:right w:w="108" w:type="dxa"/>
            </w:tcMar>
            <w:vAlign w:val="center"/>
          </w:tcPr>
          <w:p w14:paraId="11DBFB0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其他</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结果</w:t>
            </w:r>
          </w:p>
        </w:tc>
        <w:tc>
          <w:tcPr>
            <w:tcW w:w="643" w:type="dxa"/>
            <w:tcBorders>
              <w:top w:val="single" w:color="auto" w:sz="8" w:space="0"/>
              <w:left w:val="single" w:color="auto" w:sz="4" w:space="0"/>
              <w:bottom w:val="single" w:color="auto" w:sz="4" w:space="0"/>
              <w:right w:val="single" w:color="auto" w:sz="8" w:space="0"/>
            </w:tcBorders>
            <w:tcMar>
              <w:left w:w="108" w:type="dxa"/>
              <w:right w:w="108" w:type="dxa"/>
            </w:tcMar>
            <w:vAlign w:val="center"/>
          </w:tcPr>
          <w:p w14:paraId="2504820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尚未</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审结</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7992409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总计</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353935E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维持</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267734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结果</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纠正</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6F59D57D">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其他</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结果</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29E1D066">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尚未</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审结</w:t>
            </w:r>
          </w:p>
        </w:tc>
        <w:tc>
          <w:tcPr>
            <w:tcW w:w="643"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14:paraId="122A670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总计</w:t>
            </w:r>
          </w:p>
        </w:tc>
      </w:tr>
      <w:tr w14:paraId="706D20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91F0DC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5189234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02C9003F">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25CC0791">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74FBCB7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805492E">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2"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FBCFDEC">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8" w:space="0"/>
              <w:right w:val="single" w:color="auto" w:sz="4" w:space="0"/>
            </w:tcBorders>
            <w:tcMar>
              <w:left w:w="108" w:type="dxa"/>
              <w:right w:w="108" w:type="dxa"/>
            </w:tcMar>
            <w:vAlign w:val="center"/>
          </w:tcPr>
          <w:p w14:paraId="24327D44">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6E69709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23AB6F3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1E27B8F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6504AFCB">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29E8A6A3">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3D4A5E49">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lang w:bidi="ar"/>
              </w:rPr>
              <w:t>0</w:t>
            </w:r>
          </w:p>
        </w:tc>
        <w:tc>
          <w:tcPr>
            <w:tcW w:w="643"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37B6E0BD">
            <w:pPr>
              <w:jc w:val="center"/>
              <w:rPr>
                <w:rFonts w:hint="eastAsia" w:ascii="仿宋_GB2312" w:hAnsi="仿宋_GB2312" w:eastAsia="仿宋_GB2312" w:cs="仿宋_GB2312"/>
                <w:sz w:val="24"/>
              </w:rPr>
            </w:pPr>
            <w:r>
              <w:rPr>
                <w:rFonts w:hint="eastAsia" w:ascii="仿宋_GB2312" w:hAnsi="仿宋_GB2312" w:eastAsia="仿宋_GB2312" w:cs="仿宋_GB2312"/>
              </w:rPr>
              <w:t>0</w:t>
            </w:r>
          </w:p>
        </w:tc>
      </w:tr>
    </w:tbl>
    <w:p w14:paraId="5EE35B3D">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五、存在的主要问题及改进情况</w:t>
      </w:r>
    </w:p>
    <w:p w14:paraId="7D4C19EA">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年问题整改情况</w:t>
      </w:r>
    </w:p>
    <w:p w14:paraId="2E2725F5">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学习培训的力度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政务公开</w:t>
      </w:r>
      <w:r>
        <w:rPr>
          <w:rFonts w:hint="eastAsia" w:ascii="仿宋_GB2312" w:hAnsi="仿宋_GB2312" w:eastAsia="仿宋_GB2312" w:cs="仿宋_GB2312"/>
          <w:sz w:val="32"/>
          <w:szCs w:val="32"/>
        </w:rPr>
        <w:t>相关人员创造更多接受专业培训的机会，使</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能充分理解政府信息公开的深远意义、具体规定及实际操作步骤，确保每位参与信息公开工作的人员都拥有扎实的专业知识和熟练的技能。</w:t>
      </w:r>
      <w:r>
        <w:rPr>
          <w:rFonts w:hint="eastAsia" w:ascii="仿宋_GB2312" w:hAnsi="仿宋_GB2312" w:eastAsia="仿宋_GB2312" w:cs="仿宋_GB2312"/>
          <w:sz w:val="32"/>
          <w:szCs w:val="32"/>
          <w:lang w:val="en-US" w:eastAsia="zh-CN"/>
        </w:rPr>
        <w:t>二是强化政务公开</w:t>
      </w:r>
      <w:r>
        <w:rPr>
          <w:rFonts w:hint="eastAsia" w:ascii="仿宋_GB2312" w:hAnsi="仿宋_GB2312" w:eastAsia="仿宋_GB2312" w:cs="仿宋_GB2312"/>
          <w:sz w:val="32"/>
          <w:szCs w:val="32"/>
        </w:rPr>
        <w:t>信息的审核工作，确保政府信息准确无误与完整全面。这包括对所有已公布的信息进行细致入微的复查，特别关注信息中的超链接有效性以及是否存在错别字或敏感词汇等问题，一旦发现瑕疵，立即进行修正。</w:t>
      </w:r>
    </w:p>
    <w:p w14:paraId="109620EA">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年存在的主要问题及改进情况</w:t>
      </w:r>
    </w:p>
    <w:p w14:paraId="34437906">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rPr>
        <w:t>主要问题：</w:t>
      </w:r>
      <w:r>
        <w:rPr>
          <w:rFonts w:hint="eastAsia" w:ascii="仿宋_GB2312" w:hAnsi="仿宋_GB2312" w:eastAsia="仿宋_GB2312" w:cs="仿宋_GB2312"/>
          <w:sz w:val="32"/>
          <w:szCs w:val="32"/>
          <w:highlight w:val="none"/>
          <w:lang w:val="en-US" w:eastAsia="zh-CN"/>
        </w:rPr>
        <w:t>一是政务公开工作内容不够新颖，更新速度较慢。二是目前政策解读工作效果有待提升，解读形式较为单一，主要以文字解读为主。</w:t>
      </w:r>
    </w:p>
    <w:p w14:paraId="47B7F62C">
      <w:pPr>
        <w:keepNext w:val="0"/>
        <w:keepLines w:val="0"/>
        <w:pageBreakBefore w:val="0"/>
        <w:widowControl w:val="0"/>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改进情况：</w:t>
      </w:r>
      <w:r>
        <w:rPr>
          <w:rFonts w:hint="eastAsia" w:ascii="仿宋_GB2312" w:hAnsi="仿宋_GB2312" w:eastAsia="仿宋_GB2312" w:cs="仿宋_GB2312"/>
          <w:sz w:val="32"/>
          <w:szCs w:val="32"/>
          <w:highlight w:val="none"/>
          <w:lang w:val="en-US" w:eastAsia="zh-CN"/>
        </w:rPr>
        <w:t>一是增强政务公开内容的新颖性与时效性，明确公开范围与责任，优化信息更新机制，创新公开内容。二是通过引入图文解读、案例分析等多样化的形式，丰富政策解读的手段，以满足不同受众的需求。</w:t>
      </w:r>
    </w:p>
    <w:p w14:paraId="0503DA92">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ascii="仿宋_GB2312" w:hAnsi="仿宋_GB2312" w:eastAsia="黑体" w:cs="仿宋_GB2312"/>
          <w:sz w:val="32"/>
          <w:szCs w:val="32"/>
          <w:shd w:val="clear" w:color="auto" w:fill="FFFFFF"/>
          <w:lang w:val="en-US" w:eastAsia="zh-CN"/>
        </w:rPr>
      </w:pPr>
      <w:r>
        <w:rPr>
          <w:rFonts w:hint="eastAsia" w:ascii="黑体" w:hAnsi="黑体" w:eastAsia="黑体" w:cs="黑体"/>
          <w:sz w:val="32"/>
          <w:szCs w:val="32"/>
          <w:shd w:val="clear" w:color="auto" w:fill="FFFFFF"/>
        </w:rPr>
        <w:t>六、其他需要报告的事项</w:t>
      </w:r>
      <w:r>
        <w:rPr>
          <w:rFonts w:hint="eastAsia" w:ascii="黑体" w:hAnsi="黑体" w:eastAsia="黑体" w:cs="黑体"/>
          <w:sz w:val="32"/>
          <w:szCs w:val="32"/>
          <w:shd w:val="clear" w:color="auto" w:fill="FFFFFF"/>
          <w:lang w:val="en-US" w:eastAsia="zh-CN"/>
        </w:rPr>
        <w:t xml:space="preserve">   </w:t>
      </w:r>
    </w:p>
    <w:p w14:paraId="7C5A6CEA">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（一）收取信息处理费情况</w:t>
      </w:r>
    </w:p>
    <w:p w14:paraId="1CD217A4">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2023年度未收取政府信息公开信息处理费，包括：检索费、复制费（含案卷材料复制费）、邮寄费。</w:t>
      </w:r>
    </w:p>
    <w:p w14:paraId="05FAB5B5">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sz w:val="32"/>
          <w:szCs w:val="32"/>
        </w:rPr>
        <w:t>（二）落实安丘市</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年度政务公开工作要点情况</w:t>
      </w:r>
    </w:p>
    <w:p w14:paraId="7F2B7FAD">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安丘市医疗保障局</w:t>
      </w:r>
      <w:r>
        <w:rPr>
          <w:rFonts w:hint="eastAsia" w:ascii="仿宋_GB2312" w:hAnsi="仿宋_GB2312" w:eastAsia="仿宋_GB2312" w:cs="仿宋_GB2312"/>
          <w:sz w:val="32"/>
          <w:szCs w:val="32"/>
          <w:highlight w:val="none"/>
        </w:rPr>
        <w:t>主动公开事项目录信息要求，主动、及时、规范做好政府门户网站和“安丘医疗保障”政务新媒体信息发布，及时更新医保领域的最新资讯，以保障信息的即时性和透明度。</w:t>
      </w:r>
    </w:p>
    <w:p w14:paraId="278E65B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（三）人大代表建议和政协委员提案办理公开情况</w:t>
      </w:r>
    </w:p>
    <w:p w14:paraId="431A8F58">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2024年，安丘市</w:t>
      </w:r>
      <w:r>
        <w:rPr>
          <w:rFonts w:hint="eastAsia" w:ascii="仿宋_GB2312" w:hAnsi="仿宋_GB2312" w:eastAsia="仿宋_GB2312" w:cs="仿宋_GB2312"/>
          <w:kern w:val="2"/>
          <w:sz w:val="32"/>
          <w:szCs w:val="32"/>
          <w:highlight w:val="none"/>
          <w:shd w:val="clear" w:color="auto" w:fill="FFFFFF"/>
          <w:lang w:val="en-US" w:eastAsia="zh-CN" w:bidi="ar-SA"/>
        </w:rPr>
        <w:t>医疗保障局收到0件政协委员提案，较2023年减少2件。</w:t>
      </w:r>
    </w:p>
    <w:p w14:paraId="6FB15232">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（四）安丘市医疗保障局</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年度政务公开工作创新情况</w:t>
      </w:r>
    </w:p>
    <w:p w14:paraId="7295DCE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我局持续深化“两服务一监管”行业服务品牌建设，聚焦医保经办、医药机构保障和医保基金监管，积极推动政务公开创新，为医保工作高质量发展注入新活力。我局全力拓展公开维度，通过政务公开、微信公众号和微信视频号等平台公开医保相关信息，并拍摄参保扩面、就医报销宣传视频4条，累计点赞转发900余次。</w:t>
      </w:r>
    </w:p>
    <w:p w14:paraId="2A10E37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（五）安丘市医疗保障局202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年度政府信息公开工作年度报告数据统计需要说明的事项</w:t>
      </w:r>
    </w:p>
    <w:p w14:paraId="42462D92">
      <w:pPr>
        <w:pStyle w:val="3"/>
        <w:keepNext w:val="0"/>
        <w:keepLines w:val="0"/>
        <w:pageBreakBefore w:val="0"/>
        <w:widowControl w:val="0"/>
        <w:kinsoku/>
        <w:wordWrap/>
        <w:overflowPunct/>
        <w:topLinePunct w:val="0"/>
        <w:autoSpaceDE/>
        <w:autoSpaceDN/>
        <w:bidi w:val="0"/>
        <w:spacing w:line="579"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本年度报告中所列各项数据的统计期限自202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年1月1日至202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年12月31日。本年度报告的电子版可在安丘市人民政府门户网站（http://www.anqiu.gov.cn/）下载。如对本报告有任何疑问，请与安丘市医疗保障局办公室联系（地址：山东省安丘市</w:t>
      </w:r>
      <w:r>
        <w:rPr>
          <w:rFonts w:hint="eastAsia" w:ascii="仿宋_GB2312" w:hAnsi="仿宋_GB2312" w:eastAsia="仿宋_GB2312" w:cs="仿宋_GB2312"/>
          <w:sz w:val="32"/>
          <w:szCs w:val="32"/>
          <w:shd w:val="clear" w:color="auto" w:fill="FFFFFF"/>
          <w:lang w:val="en-US" w:eastAsia="zh-CN"/>
        </w:rPr>
        <w:t>建设路57号7</w:t>
      </w:r>
      <w:r>
        <w:rPr>
          <w:rFonts w:hint="eastAsia" w:ascii="仿宋_GB2312" w:hAnsi="仿宋_GB2312" w:eastAsia="仿宋_GB2312" w:cs="仿宋_GB2312"/>
          <w:sz w:val="32"/>
          <w:szCs w:val="32"/>
          <w:shd w:val="clear" w:color="auto" w:fill="FFFFFF"/>
        </w:rPr>
        <w:t>楼</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室，邮编：262100，电话：0536-2512776，传真：0536-2512776，电子邮箱：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"mailto:aqszfzwgkb@wf.shandong.cn）。"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shd w:val="clear" w:color="auto" w:fill="FFFFFF"/>
        </w:rPr>
        <w:t>aqsylbzjbgs@wf.shandong.cn）。</w:t>
      </w:r>
      <w:r>
        <w:rPr>
          <w:rFonts w:hint="eastAsia" w:ascii="仿宋_GB2312" w:hAnsi="仿宋_GB2312" w:eastAsia="仿宋_GB2312" w:cs="仿宋_GB2312"/>
          <w:sz w:val="32"/>
          <w:szCs w:val="32"/>
          <w:shd w:val="clear" w:color="auto" w:fill="FFFFFF"/>
        </w:rPr>
        <w:fldChar w:fldCharType="end"/>
      </w:r>
    </w:p>
    <w:p w14:paraId="6E0593A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（六）安丘市医疗保障局</w:t>
      </w:r>
      <w:r>
        <w:rPr>
          <w:rFonts w:hint="eastAsia" w:ascii="楷体_GB2312" w:hAnsi="楷体_GB2312" w:eastAsia="楷体_GB2312" w:cs="楷体_GB2312"/>
          <w:sz w:val="32"/>
          <w:szCs w:val="32"/>
          <w:lang w:eastAsia="zh-CN"/>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年度没有其他需要报告的事项。</w:t>
      </w:r>
    </w:p>
    <w:p w14:paraId="430E7575">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（七）安丘市医疗保障局</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年度没有其他有关文件专门要求通过政府信息公开工作年度报告予以报告的事项。</w:t>
      </w:r>
    </w:p>
    <w:p w14:paraId="69B99D0D">
      <w:pPr>
        <w:pStyle w:val="3"/>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shd w:val="clear" w:color="auto" w:fill="FFFFFF"/>
        </w:rPr>
      </w:pPr>
    </w:p>
    <w:p w14:paraId="7E4A2E9B">
      <w:pPr>
        <w:pStyle w:val="3"/>
        <w:keepNext w:val="0"/>
        <w:keepLines w:val="0"/>
        <w:pageBreakBefore w:val="0"/>
        <w:widowControl w:val="0"/>
        <w:kinsoku/>
        <w:wordWrap/>
        <w:overflowPunct/>
        <w:topLinePunct w:val="0"/>
        <w:autoSpaceDE/>
        <w:autoSpaceDN/>
        <w:bidi w:val="0"/>
        <w:spacing w:line="579" w:lineRule="exact"/>
        <w:ind w:firstLine="5120" w:firstLineChars="16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安丘市医疗保障局</w:t>
      </w:r>
    </w:p>
    <w:p w14:paraId="0A40F8C2">
      <w:pPr>
        <w:pStyle w:val="3"/>
        <w:keepNext w:val="0"/>
        <w:keepLines w:val="0"/>
        <w:pageBreakBefore w:val="0"/>
        <w:widowControl w:val="0"/>
        <w:kinsoku/>
        <w:wordWrap/>
        <w:overflowPunct/>
        <w:topLinePunct w:val="0"/>
        <w:autoSpaceDE/>
        <w:autoSpaceDN/>
        <w:bidi w:val="0"/>
        <w:spacing w:line="579" w:lineRule="exact"/>
        <w:ind w:firstLine="640"/>
        <w:jc w:val="center"/>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年1月</w:t>
      </w:r>
      <w:r>
        <w:rPr>
          <w:rFonts w:hint="eastAsia" w:ascii="仿宋_GB2312" w:hAnsi="仿宋_GB2312" w:eastAsia="仿宋_GB2312" w:cs="仿宋_GB2312"/>
          <w:sz w:val="32"/>
          <w:szCs w:val="32"/>
          <w:shd w:val="clear" w:color="auto" w:fill="FFFFFF"/>
          <w:lang w:val="en-US" w:eastAsia="zh-CN"/>
        </w:rPr>
        <w:t>14</w:t>
      </w:r>
      <w:bookmarkStart w:id="0" w:name="_GoBack"/>
      <w:bookmarkEnd w:id="0"/>
      <w:r>
        <w:rPr>
          <w:rFonts w:hint="eastAsia" w:ascii="仿宋_GB2312" w:hAnsi="仿宋_GB2312" w:eastAsia="仿宋_GB2312" w:cs="仿宋_GB2312"/>
          <w:sz w:val="32"/>
          <w:szCs w:val="32"/>
          <w:shd w:val="clear" w:color="auto" w:fill="FFFFFF"/>
        </w:rPr>
        <w:t>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5D354"/>
    <w:multiLevelType w:val="singleLevel"/>
    <w:tmpl w:val="89E5D3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k1OTc3Njk5YTI0ZDA0NmRlOTQ2Y2M3ZWI5OWMifQ=="/>
  </w:docVars>
  <w:rsids>
    <w:rsidRoot w:val="00CE18F8"/>
    <w:rsid w:val="0031292B"/>
    <w:rsid w:val="004B3C39"/>
    <w:rsid w:val="007729CC"/>
    <w:rsid w:val="00BA0801"/>
    <w:rsid w:val="00C50B26"/>
    <w:rsid w:val="00CE18F8"/>
    <w:rsid w:val="00D02F4C"/>
    <w:rsid w:val="00D9001A"/>
    <w:rsid w:val="01040C6B"/>
    <w:rsid w:val="015A735C"/>
    <w:rsid w:val="02441F1E"/>
    <w:rsid w:val="02566F2F"/>
    <w:rsid w:val="02954528"/>
    <w:rsid w:val="02C10DFF"/>
    <w:rsid w:val="03E272F9"/>
    <w:rsid w:val="03EC7ADB"/>
    <w:rsid w:val="055D5B09"/>
    <w:rsid w:val="05F11A75"/>
    <w:rsid w:val="060F600F"/>
    <w:rsid w:val="06D849E3"/>
    <w:rsid w:val="06F21F49"/>
    <w:rsid w:val="072B6555"/>
    <w:rsid w:val="07554285"/>
    <w:rsid w:val="07997624"/>
    <w:rsid w:val="07C5765D"/>
    <w:rsid w:val="08A52FEB"/>
    <w:rsid w:val="095F3199"/>
    <w:rsid w:val="09626321"/>
    <w:rsid w:val="09D82051"/>
    <w:rsid w:val="0A417B23"/>
    <w:rsid w:val="0A4E0973"/>
    <w:rsid w:val="0BD25EA5"/>
    <w:rsid w:val="0C3703FE"/>
    <w:rsid w:val="0C450D6C"/>
    <w:rsid w:val="0C8E2094"/>
    <w:rsid w:val="0C923718"/>
    <w:rsid w:val="0CBB102F"/>
    <w:rsid w:val="0CFF53BF"/>
    <w:rsid w:val="0D2558DC"/>
    <w:rsid w:val="0D662D48"/>
    <w:rsid w:val="0DB13F85"/>
    <w:rsid w:val="0E082052"/>
    <w:rsid w:val="0E0D1416"/>
    <w:rsid w:val="0E3966AF"/>
    <w:rsid w:val="0E99714E"/>
    <w:rsid w:val="0F6A5FF7"/>
    <w:rsid w:val="0FBF3882"/>
    <w:rsid w:val="0FD60CF8"/>
    <w:rsid w:val="10027152"/>
    <w:rsid w:val="106766A1"/>
    <w:rsid w:val="107734BE"/>
    <w:rsid w:val="109B404E"/>
    <w:rsid w:val="10A93873"/>
    <w:rsid w:val="10E8616A"/>
    <w:rsid w:val="114E06C3"/>
    <w:rsid w:val="11824FEE"/>
    <w:rsid w:val="11904838"/>
    <w:rsid w:val="11BE79B5"/>
    <w:rsid w:val="11EB78AF"/>
    <w:rsid w:val="12505070"/>
    <w:rsid w:val="133D55BA"/>
    <w:rsid w:val="13443A11"/>
    <w:rsid w:val="13D16334"/>
    <w:rsid w:val="13E75FB2"/>
    <w:rsid w:val="13E76BAD"/>
    <w:rsid w:val="149C6C23"/>
    <w:rsid w:val="150C0679"/>
    <w:rsid w:val="151B630A"/>
    <w:rsid w:val="154C0FF9"/>
    <w:rsid w:val="156C2EC6"/>
    <w:rsid w:val="157D3325"/>
    <w:rsid w:val="15DE4139"/>
    <w:rsid w:val="15E62E43"/>
    <w:rsid w:val="16004104"/>
    <w:rsid w:val="1606331B"/>
    <w:rsid w:val="161A0B74"/>
    <w:rsid w:val="172A4DE7"/>
    <w:rsid w:val="173D7210"/>
    <w:rsid w:val="175207E1"/>
    <w:rsid w:val="17935CD1"/>
    <w:rsid w:val="17E01B81"/>
    <w:rsid w:val="18422604"/>
    <w:rsid w:val="185D11EC"/>
    <w:rsid w:val="19F16090"/>
    <w:rsid w:val="1A393593"/>
    <w:rsid w:val="1A776E67"/>
    <w:rsid w:val="1A930A00"/>
    <w:rsid w:val="1AB27AE3"/>
    <w:rsid w:val="1AD73553"/>
    <w:rsid w:val="1AEE25CF"/>
    <w:rsid w:val="1B8F5B60"/>
    <w:rsid w:val="1BA03079"/>
    <w:rsid w:val="1BFB1448"/>
    <w:rsid w:val="1C5E5533"/>
    <w:rsid w:val="1CD11779"/>
    <w:rsid w:val="1CEE68B6"/>
    <w:rsid w:val="1D297443"/>
    <w:rsid w:val="1D5A3F4C"/>
    <w:rsid w:val="1DEC54EC"/>
    <w:rsid w:val="1DFE521F"/>
    <w:rsid w:val="1E763007"/>
    <w:rsid w:val="1FD46237"/>
    <w:rsid w:val="1FD75D28"/>
    <w:rsid w:val="1FDE70B6"/>
    <w:rsid w:val="20207374"/>
    <w:rsid w:val="2067652B"/>
    <w:rsid w:val="20B717FD"/>
    <w:rsid w:val="20B90AEB"/>
    <w:rsid w:val="21F229A5"/>
    <w:rsid w:val="225B2C40"/>
    <w:rsid w:val="22A31EF1"/>
    <w:rsid w:val="231E77CA"/>
    <w:rsid w:val="24280900"/>
    <w:rsid w:val="24296558"/>
    <w:rsid w:val="24945F95"/>
    <w:rsid w:val="256B319A"/>
    <w:rsid w:val="257007B0"/>
    <w:rsid w:val="25D55EC9"/>
    <w:rsid w:val="25E72643"/>
    <w:rsid w:val="261A2A6D"/>
    <w:rsid w:val="26BB1EFF"/>
    <w:rsid w:val="26FC7E22"/>
    <w:rsid w:val="276E2ACE"/>
    <w:rsid w:val="27814EF7"/>
    <w:rsid w:val="28326EAE"/>
    <w:rsid w:val="28497097"/>
    <w:rsid w:val="285B7316"/>
    <w:rsid w:val="287A36F4"/>
    <w:rsid w:val="293D14B6"/>
    <w:rsid w:val="295C2DFA"/>
    <w:rsid w:val="296F6FD1"/>
    <w:rsid w:val="2A075F37"/>
    <w:rsid w:val="2A21775E"/>
    <w:rsid w:val="2A495A74"/>
    <w:rsid w:val="2B2A7653"/>
    <w:rsid w:val="2BB1742D"/>
    <w:rsid w:val="2C4B61B1"/>
    <w:rsid w:val="2C9254B0"/>
    <w:rsid w:val="2CAE1214"/>
    <w:rsid w:val="2D0B19DA"/>
    <w:rsid w:val="2D7962EA"/>
    <w:rsid w:val="2D866ECD"/>
    <w:rsid w:val="2E5A0691"/>
    <w:rsid w:val="2E7035CF"/>
    <w:rsid w:val="2E8D66AF"/>
    <w:rsid w:val="2EB15996"/>
    <w:rsid w:val="2EBC4A66"/>
    <w:rsid w:val="2F124686"/>
    <w:rsid w:val="2F357B07"/>
    <w:rsid w:val="2F880CC7"/>
    <w:rsid w:val="2F882B9B"/>
    <w:rsid w:val="2FCE2CA3"/>
    <w:rsid w:val="2FF27169"/>
    <w:rsid w:val="2FF34BA7"/>
    <w:rsid w:val="31853836"/>
    <w:rsid w:val="31AB491E"/>
    <w:rsid w:val="31C8173E"/>
    <w:rsid w:val="31C854D0"/>
    <w:rsid w:val="320F4EAD"/>
    <w:rsid w:val="323F2D3A"/>
    <w:rsid w:val="32963820"/>
    <w:rsid w:val="32B90295"/>
    <w:rsid w:val="32CB171C"/>
    <w:rsid w:val="33884F17"/>
    <w:rsid w:val="339110F2"/>
    <w:rsid w:val="339C09C3"/>
    <w:rsid w:val="33E5680D"/>
    <w:rsid w:val="34EE16F2"/>
    <w:rsid w:val="34FB2398"/>
    <w:rsid w:val="357D4824"/>
    <w:rsid w:val="35A63567"/>
    <w:rsid w:val="35E93C67"/>
    <w:rsid w:val="367728DE"/>
    <w:rsid w:val="371F3DE4"/>
    <w:rsid w:val="3763325B"/>
    <w:rsid w:val="37671737"/>
    <w:rsid w:val="37704640"/>
    <w:rsid w:val="384004B6"/>
    <w:rsid w:val="385E26EA"/>
    <w:rsid w:val="389467DA"/>
    <w:rsid w:val="38A30A45"/>
    <w:rsid w:val="38C024D7"/>
    <w:rsid w:val="397F3DCC"/>
    <w:rsid w:val="39E3559D"/>
    <w:rsid w:val="3A0379ED"/>
    <w:rsid w:val="3A0D261A"/>
    <w:rsid w:val="3A1273C6"/>
    <w:rsid w:val="3A380DCE"/>
    <w:rsid w:val="3A540249"/>
    <w:rsid w:val="3A63223A"/>
    <w:rsid w:val="3B5F50F7"/>
    <w:rsid w:val="3B7A3CDF"/>
    <w:rsid w:val="3B8E442A"/>
    <w:rsid w:val="3D2008B6"/>
    <w:rsid w:val="3D6D517E"/>
    <w:rsid w:val="3D762284"/>
    <w:rsid w:val="3DDF4DD6"/>
    <w:rsid w:val="3E3A7756"/>
    <w:rsid w:val="3E726EF0"/>
    <w:rsid w:val="3E810FEA"/>
    <w:rsid w:val="3FBA0B4E"/>
    <w:rsid w:val="403D5215"/>
    <w:rsid w:val="40BC4452"/>
    <w:rsid w:val="40C83D94"/>
    <w:rsid w:val="40F462E2"/>
    <w:rsid w:val="410D1152"/>
    <w:rsid w:val="41DD0B24"/>
    <w:rsid w:val="42B52F5D"/>
    <w:rsid w:val="42C27960"/>
    <w:rsid w:val="42F205FF"/>
    <w:rsid w:val="430345BA"/>
    <w:rsid w:val="4303589F"/>
    <w:rsid w:val="43733213"/>
    <w:rsid w:val="43741014"/>
    <w:rsid w:val="43D30430"/>
    <w:rsid w:val="4416656F"/>
    <w:rsid w:val="44564BBE"/>
    <w:rsid w:val="44A40300"/>
    <w:rsid w:val="450B59A8"/>
    <w:rsid w:val="45A100BA"/>
    <w:rsid w:val="46976ECD"/>
    <w:rsid w:val="46987903"/>
    <w:rsid w:val="46A2058E"/>
    <w:rsid w:val="46D324F5"/>
    <w:rsid w:val="46E22739"/>
    <w:rsid w:val="47013507"/>
    <w:rsid w:val="475E2707"/>
    <w:rsid w:val="47705F96"/>
    <w:rsid w:val="47DA11B4"/>
    <w:rsid w:val="481C1C7A"/>
    <w:rsid w:val="490B41C9"/>
    <w:rsid w:val="4913307D"/>
    <w:rsid w:val="494D2A33"/>
    <w:rsid w:val="49C63FC9"/>
    <w:rsid w:val="4A2A4B22"/>
    <w:rsid w:val="4AE36D27"/>
    <w:rsid w:val="4B047121"/>
    <w:rsid w:val="4B125CE2"/>
    <w:rsid w:val="4C7D362F"/>
    <w:rsid w:val="4C8A004D"/>
    <w:rsid w:val="4CAA5AA7"/>
    <w:rsid w:val="4D237E1F"/>
    <w:rsid w:val="4DC164B0"/>
    <w:rsid w:val="4DD049FB"/>
    <w:rsid w:val="4DFA2A5E"/>
    <w:rsid w:val="4EEC23A6"/>
    <w:rsid w:val="4F5D7B14"/>
    <w:rsid w:val="4F730BD4"/>
    <w:rsid w:val="4F776905"/>
    <w:rsid w:val="4FB86F32"/>
    <w:rsid w:val="50B96C00"/>
    <w:rsid w:val="51B329C8"/>
    <w:rsid w:val="52164092"/>
    <w:rsid w:val="52391DA6"/>
    <w:rsid w:val="525210BA"/>
    <w:rsid w:val="525C5A95"/>
    <w:rsid w:val="526A3F44"/>
    <w:rsid w:val="52880638"/>
    <w:rsid w:val="52D90E94"/>
    <w:rsid w:val="53124C5F"/>
    <w:rsid w:val="533B56AA"/>
    <w:rsid w:val="53536E98"/>
    <w:rsid w:val="53894668"/>
    <w:rsid w:val="547E7F44"/>
    <w:rsid w:val="54B716A8"/>
    <w:rsid w:val="54EA382C"/>
    <w:rsid w:val="55C0458D"/>
    <w:rsid w:val="55FD2308"/>
    <w:rsid w:val="56235BDA"/>
    <w:rsid w:val="564B3E56"/>
    <w:rsid w:val="56CE6835"/>
    <w:rsid w:val="57752CB8"/>
    <w:rsid w:val="585F3705"/>
    <w:rsid w:val="59487781"/>
    <w:rsid w:val="5952374E"/>
    <w:rsid w:val="59592D2E"/>
    <w:rsid w:val="59934492"/>
    <w:rsid w:val="5A2E6CD8"/>
    <w:rsid w:val="5A3B68D8"/>
    <w:rsid w:val="5A4358F1"/>
    <w:rsid w:val="5ADB7D78"/>
    <w:rsid w:val="5B800A46"/>
    <w:rsid w:val="5C4D276E"/>
    <w:rsid w:val="5C512D32"/>
    <w:rsid w:val="5C656FA5"/>
    <w:rsid w:val="5CA97633"/>
    <w:rsid w:val="5CB5471F"/>
    <w:rsid w:val="5CFF3BED"/>
    <w:rsid w:val="5D2A587A"/>
    <w:rsid w:val="5D7E2D63"/>
    <w:rsid w:val="5E0F1C0D"/>
    <w:rsid w:val="5E3873B6"/>
    <w:rsid w:val="5E4D2736"/>
    <w:rsid w:val="5FA82E47"/>
    <w:rsid w:val="5FCA773B"/>
    <w:rsid w:val="60786190"/>
    <w:rsid w:val="619E1C26"/>
    <w:rsid w:val="619F78E4"/>
    <w:rsid w:val="61D158D0"/>
    <w:rsid w:val="634C3904"/>
    <w:rsid w:val="63DC4C88"/>
    <w:rsid w:val="63F0603D"/>
    <w:rsid w:val="640104C5"/>
    <w:rsid w:val="65441F2E"/>
    <w:rsid w:val="6545060B"/>
    <w:rsid w:val="659375C8"/>
    <w:rsid w:val="65B61D10"/>
    <w:rsid w:val="65CB6408"/>
    <w:rsid w:val="667F5A9A"/>
    <w:rsid w:val="66DA774A"/>
    <w:rsid w:val="67430B73"/>
    <w:rsid w:val="67492634"/>
    <w:rsid w:val="677D63AA"/>
    <w:rsid w:val="678E0047"/>
    <w:rsid w:val="67C63526"/>
    <w:rsid w:val="683C7AA3"/>
    <w:rsid w:val="699B77F3"/>
    <w:rsid w:val="69D32689"/>
    <w:rsid w:val="69DA4403"/>
    <w:rsid w:val="69DF4B8A"/>
    <w:rsid w:val="69F04FE9"/>
    <w:rsid w:val="6A334ED5"/>
    <w:rsid w:val="6A6E56A3"/>
    <w:rsid w:val="6ADE3093"/>
    <w:rsid w:val="6AE34B4E"/>
    <w:rsid w:val="6B2D7D91"/>
    <w:rsid w:val="6C256AA0"/>
    <w:rsid w:val="6C617A6A"/>
    <w:rsid w:val="6D2A0159"/>
    <w:rsid w:val="6D6A3304"/>
    <w:rsid w:val="6DF350A8"/>
    <w:rsid w:val="6E0468FF"/>
    <w:rsid w:val="6E1A4985"/>
    <w:rsid w:val="6E245261"/>
    <w:rsid w:val="6E4A0A40"/>
    <w:rsid w:val="6E810806"/>
    <w:rsid w:val="6F082DD5"/>
    <w:rsid w:val="6F213E96"/>
    <w:rsid w:val="6F8E563C"/>
    <w:rsid w:val="70671D7D"/>
    <w:rsid w:val="70F51137"/>
    <w:rsid w:val="71173FAA"/>
    <w:rsid w:val="712672B4"/>
    <w:rsid w:val="71A222F8"/>
    <w:rsid w:val="72603CAC"/>
    <w:rsid w:val="727B1B10"/>
    <w:rsid w:val="729D1A86"/>
    <w:rsid w:val="731A162D"/>
    <w:rsid w:val="732C4748"/>
    <w:rsid w:val="7346501E"/>
    <w:rsid w:val="73966C01"/>
    <w:rsid w:val="739C668E"/>
    <w:rsid w:val="73AD5CF9"/>
    <w:rsid w:val="750379B1"/>
    <w:rsid w:val="75B07D22"/>
    <w:rsid w:val="76690173"/>
    <w:rsid w:val="777032C5"/>
    <w:rsid w:val="78236589"/>
    <w:rsid w:val="78BC253A"/>
    <w:rsid w:val="78CA02E9"/>
    <w:rsid w:val="79C478F8"/>
    <w:rsid w:val="79C64E2F"/>
    <w:rsid w:val="7A4F7B0A"/>
    <w:rsid w:val="7A8D0632"/>
    <w:rsid w:val="7ABB2C51"/>
    <w:rsid w:val="7ABD5BC0"/>
    <w:rsid w:val="7C2119F0"/>
    <w:rsid w:val="7C613B24"/>
    <w:rsid w:val="7CD6006E"/>
    <w:rsid w:val="7CE279A5"/>
    <w:rsid w:val="7D703517"/>
    <w:rsid w:val="7E663674"/>
    <w:rsid w:val="7E694F12"/>
    <w:rsid w:val="7ECA381D"/>
    <w:rsid w:val="7F36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footer"/>
    <w:basedOn w:val="1"/>
    <w:link w:val="38"/>
    <w:autoRedefine/>
    <w:qFormat/>
    <w:uiPriority w:val="0"/>
    <w:pPr>
      <w:tabs>
        <w:tab w:val="center" w:pos="4153"/>
        <w:tab w:val="right" w:pos="8306"/>
      </w:tabs>
      <w:snapToGrid w:val="0"/>
      <w:jc w:val="left"/>
    </w:pPr>
    <w:rPr>
      <w:sz w:val="18"/>
      <w:szCs w:val="18"/>
    </w:rPr>
  </w:style>
  <w:style w:type="paragraph" w:styleId="6">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555555"/>
      <w:u w:val="none"/>
    </w:rPr>
  </w:style>
  <w:style w:type="character" w:styleId="12">
    <w:name w:val="Hyperlink"/>
    <w:basedOn w:val="9"/>
    <w:autoRedefine/>
    <w:qFormat/>
    <w:uiPriority w:val="0"/>
    <w:rPr>
      <w:color w:val="0000FF"/>
      <w:u w:val="single"/>
    </w:rPr>
  </w:style>
  <w:style w:type="character" w:styleId="13">
    <w:name w:val="HTML Code"/>
    <w:basedOn w:val="9"/>
    <w:autoRedefine/>
    <w:qFormat/>
    <w:uiPriority w:val="0"/>
    <w:rPr>
      <w:rFonts w:ascii="Courier New" w:hAnsi="Courier New"/>
      <w:sz w:val="20"/>
    </w:rPr>
  </w:style>
  <w:style w:type="character" w:styleId="14">
    <w:name w:val="annotation reference"/>
    <w:basedOn w:val="9"/>
    <w:autoRedefine/>
    <w:qFormat/>
    <w:uiPriority w:val="0"/>
    <w:rPr>
      <w:sz w:val="21"/>
      <w:szCs w:val="21"/>
    </w:rPr>
  </w:style>
  <w:style w:type="character" w:customStyle="1" w:styleId="15">
    <w:name w:val="on"/>
    <w:basedOn w:val="9"/>
    <w:autoRedefine/>
    <w:qFormat/>
    <w:uiPriority w:val="0"/>
    <w:rPr>
      <w:b/>
      <w:bCs/>
      <w:color w:val="1658A0"/>
      <w:shd w:val="clear" w:color="auto" w:fill="F2F2F2"/>
    </w:rPr>
  </w:style>
  <w:style w:type="character" w:customStyle="1" w:styleId="16">
    <w:name w:val="icon4"/>
    <w:basedOn w:val="9"/>
    <w:autoRedefine/>
    <w:qFormat/>
    <w:uiPriority w:val="0"/>
  </w:style>
  <w:style w:type="character" w:customStyle="1" w:styleId="17">
    <w:name w:val="icon3"/>
    <w:basedOn w:val="9"/>
    <w:autoRedefine/>
    <w:qFormat/>
    <w:uiPriority w:val="0"/>
  </w:style>
  <w:style w:type="character" w:customStyle="1" w:styleId="18">
    <w:name w:val="icon7"/>
    <w:basedOn w:val="9"/>
    <w:autoRedefine/>
    <w:qFormat/>
    <w:uiPriority w:val="0"/>
  </w:style>
  <w:style w:type="character" w:customStyle="1" w:styleId="19">
    <w:name w:val="icon1"/>
    <w:basedOn w:val="9"/>
    <w:autoRedefine/>
    <w:qFormat/>
    <w:uiPriority w:val="0"/>
  </w:style>
  <w:style w:type="character" w:customStyle="1" w:styleId="20">
    <w:name w:val="icon2"/>
    <w:basedOn w:val="9"/>
    <w:autoRedefine/>
    <w:qFormat/>
    <w:uiPriority w:val="0"/>
  </w:style>
  <w:style w:type="character" w:customStyle="1" w:styleId="21">
    <w:name w:val="icon5"/>
    <w:basedOn w:val="9"/>
    <w:autoRedefine/>
    <w:qFormat/>
    <w:uiPriority w:val="0"/>
  </w:style>
  <w:style w:type="character" w:customStyle="1" w:styleId="22">
    <w:name w:val="icon6"/>
    <w:basedOn w:val="9"/>
    <w:autoRedefine/>
    <w:qFormat/>
    <w:uiPriority w:val="0"/>
  </w:style>
  <w:style w:type="character" w:customStyle="1" w:styleId="23">
    <w:name w:val="icon8"/>
    <w:basedOn w:val="9"/>
    <w:autoRedefine/>
    <w:qFormat/>
    <w:uiPriority w:val="0"/>
  </w:style>
  <w:style w:type="character" w:customStyle="1" w:styleId="24">
    <w:name w:val="line2"/>
    <w:basedOn w:val="9"/>
    <w:autoRedefine/>
    <w:qFormat/>
    <w:uiPriority w:val="0"/>
  </w:style>
  <w:style w:type="character" w:customStyle="1" w:styleId="25">
    <w:name w:val="line3"/>
    <w:basedOn w:val="9"/>
    <w:autoRedefine/>
    <w:qFormat/>
    <w:uiPriority w:val="0"/>
  </w:style>
  <w:style w:type="character" w:customStyle="1" w:styleId="26">
    <w:name w:val="sl"/>
    <w:basedOn w:val="9"/>
    <w:autoRedefine/>
    <w:qFormat/>
    <w:uiPriority w:val="0"/>
    <w:rPr>
      <w:sz w:val="21"/>
      <w:szCs w:val="21"/>
    </w:rPr>
  </w:style>
  <w:style w:type="character" w:customStyle="1" w:styleId="27">
    <w:name w:val="fy_go"/>
    <w:basedOn w:val="9"/>
    <w:autoRedefine/>
    <w:qFormat/>
    <w:uiPriority w:val="0"/>
    <w:rPr>
      <w:color w:val="FFFFFF"/>
      <w:sz w:val="21"/>
      <w:szCs w:val="21"/>
      <w:shd w:val="clear" w:color="auto" w:fill="1658A0"/>
    </w:rPr>
  </w:style>
  <w:style w:type="character" w:customStyle="1" w:styleId="28">
    <w:name w:val="calendar-head__year-range"/>
    <w:basedOn w:val="9"/>
    <w:autoRedefine/>
    <w:qFormat/>
    <w:uiPriority w:val="0"/>
    <w:rPr>
      <w:vanish/>
    </w:rPr>
  </w:style>
  <w:style w:type="character" w:customStyle="1" w:styleId="29">
    <w:name w:val="hover"/>
    <w:basedOn w:val="9"/>
    <w:autoRedefine/>
    <w:qFormat/>
    <w:uiPriority w:val="0"/>
    <w:rPr>
      <w:color w:val="2F6EA2"/>
    </w:rPr>
  </w:style>
  <w:style w:type="character" w:customStyle="1" w:styleId="30">
    <w:name w:val="active"/>
    <w:basedOn w:val="9"/>
    <w:autoRedefine/>
    <w:qFormat/>
    <w:uiPriority w:val="0"/>
    <w:rPr>
      <w:color w:val="333333"/>
    </w:rPr>
  </w:style>
  <w:style w:type="character" w:customStyle="1" w:styleId="31">
    <w:name w:val="calendar-head__next-month-btn"/>
    <w:basedOn w:val="9"/>
    <w:autoRedefine/>
    <w:qFormat/>
    <w:uiPriority w:val="0"/>
  </w:style>
  <w:style w:type="character" w:customStyle="1" w:styleId="32">
    <w:name w:val="calendar-head__text-display"/>
    <w:basedOn w:val="9"/>
    <w:autoRedefine/>
    <w:qFormat/>
    <w:uiPriority w:val="0"/>
    <w:rPr>
      <w:vanish/>
    </w:rPr>
  </w:style>
  <w:style w:type="character" w:customStyle="1" w:styleId="33">
    <w:name w:val="calendar-head__next-year-btn"/>
    <w:basedOn w:val="9"/>
    <w:autoRedefine/>
    <w:qFormat/>
    <w:uiPriority w:val="0"/>
  </w:style>
  <w:style w:type="character" w:customStyle="1" w:styleId="34">
    <w:name w:val="calendar-head__prev-range-btn"/>
    <w:basedOn w:val="9"/>
    <w:autoRedefine/>
    <w:qFormat/>
    <w:uiPriority w:val="0"/>
    <w:rPr>
      <w:vanish/>
    </w:rPr>
  </w:style>
  <w:style w:type="character" w:customStyle="1" w:styleId="35">
    <w:name w:val="calendar-head__next-range-btn"/>
    <w:basedOn w:val="9"/>
    <w:autoRedefine/>
    <w:qFormat/>
    <w:uiPriority w:val="0"/>
    <w:rPr>
      <w:vanish/>
    </w:rPr>
  </w:style>
  <w:style w:type="character" w:customStyle="1" w:styleId="36">
    <w:name w:val="active2"/>
    <w:basedOn w:val="9"/>
    <w:autoRedefine/>
    <w:qFormat/>
    <w:uiPriority w:val="0"/>
    <w:rPr>
      <w:color w:val="333333"/>
    </w:rPr>
  </w:style>
  <w:style w:type="character" w:customStyle="1" w:styleId="37">
    <w:name w:val="页眉 字符"/>
    <w:basedOn w:val="9"/>
    <w:link w:val="6"/>
    <w:autoRedefine/>
    <w:qFormat/>
    <w:uiPriority w:val="0"/>
    <w:rPr>
      <w:rFonts w:ascii="Calibri" w:hAnsi="Calibri"/>
      <w:kern w:val="2"/>
      <w:sz w:val="18"/>
      <w:szCs w:val="18"/>
    </w:rPr>
  </w:style>
  <w:style w:type="character" w:customStyle="1" w:styleId="38">
    <w:name w:val="页脚 字符"/>
    <w:basedOn w:val="9"/>
    <w:link w:val="5"/>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baseline="0">
                <a:solidFill>
                  <a:schemeClr val="tx1">
                    <a:lumMod val="75000"/>
                    <a:lumOff val="25000"/>
                  </a:schemeClr>
                </a:solidFill>
                <a:latin typeface="楷体_GB2312" panose="02010609030101010101" charset="-122"/>
                <a:ea typeface="楷体_GB2312" panose="02010609030101010101" charset="-122"/>
                <a:cs typeface="楷体_GB2312" panose="02010609030101010101" charset="-122"/>
                <a:sym typeface="楷体_GB2312" panose="02010609030101010101" charset="-122"/>
              </a:defRPr>
            </a:pPr>
            <a:r>
              <a:rPr sz="1680">
                <a:latin typeface="楷体_GB2312" panose="02010609030101010101" charset="-122"/>
                <a:ea typeface="楷体_GB2312" panose="02010609030101010101" charset="-122"/>
                <a:cs typeface="楷体_GB2312" panose="02010609030101010101" charset="-122"/>
                <a:sym typeface="楷体_GB2312" panose="02010609030101010101" charset="-122"/>
              </a:rPr>
              <a:t>近年来我单位收到政府信息公开申请变化</a:t>
            </a:r>
            <a:endParaRPr sz="1680">
              <a:latin typeface="楷体_GB2312" panose="02010609030101010101" charset="-122"/>
              <a:ea typeface="楷体_GB2312" panose="02010609030101010101" charset="-122"/>
              <a:cs typeface="楷体_GB2312" panose="02010609030101010101" charset="-122"/>
              <a:sym typeface="楷体_GB2312" panose="02010609030101010101" charset="-122"/>
            </a:endParaRPr>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28575" cap="rnd">
              <a:solidFill>
                <a:schemeClr val="accent1"/>
              </a:solidFill>
              <a:round/>
            </a:ln>
            <a:effectLst/>
          </c:spPr>
          <c:marker>
            <c:symbol val="none"/>
          </c:marker>
          <c:dLbls>
            <c:delete val="1"/>
          </c:dLbls>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0</c:v>
                </c:pt>
                <c:pt idx="1">
                  <c:v>3</c:v>
                </c:pt>
                <c:pt idx="2">
                  <c:v>0</c:v>
                </c:pt>
                <c:pt idx="3">
                  <c:v>1</c:v>
                </c:pt>
                <c:pt idx="4">
                  <c:v>0</c:v>
                </c:pt>
              </c:numCache>
            </c:numRef>
          </c:val>
          <c:smooth val="0"/>
        </c:ser>
        <c:dLbls>
          <c:showLegendKey val="0"/>
          <c:showVal val="0"/>
          <c:showCatName val="0"/>
          <c:showSerName val="0"/>
          <c:showPercent val="0"/>
          <c:showBubbleSize val="0"/>
        </c:dLbls>
        <c:marker val="0"/>
        <c:smooth val="0"/>
        <c:axId val="612933259"/>
        <c:axId val="760033726"/>
      </c:lineChart>
      <c:catAx>
        <c:axId val="6129332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楷体_GB2312" panose="02010609030101010101" charset="-122"/>
                <a:ea typeface="楷体_GB2312" panose="02010609030101010101" charset="-122"/>
                <a:cs typeface="楷体_GB2312" panose="02010609030101010101" charset="-122"/>
                <a:sym typeface="楷体_GB2312" panose="02010609030101010101" charset="-122"/>
              </a:defRPr>
            </a:pPr>
          </a:p>
        </c:txPr>
        <c:crossAx val="760033726"/>
        <c:crosses val="autoZero"/>
        <c:auto val="1"/>
        <c:lblAlgn val="ctr"/>
        <c:lblOffset val="100"/>
        <c:noMultiLvlLbl val="0"/>
      </c:catAx>
      <c:valAx>
        <c:axId val="76003372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1400" b="0" i="0" u="none" strike="noStrike" kern="1200" baseline="0">
                <a:solidFill>
                  <a:schemeClr val="tx1">
                    <a:lumMod val="65000"/>
                    <a:lumOff val="35000"/>
                  </a:schemeClr>
                </a:solidFill>
                <a:latin typeface="楷体_GB2312" panose="02010609030101010101" charset="-122"/>
                <a:ea typeface="楷体_GB2312" panose="02010609030101010101" charset="-122"/>
                <a:cs typeface="楷体_GB2312" panose="02010609030101010101" charset="-122"/>
                <a:sym typeface="楷体_GB2312" panose="02010609030101010101" charset="-122"/>
              </a:defRPr>
            </a:pPr>
          </a:p>
        </c:txPr>
        <c:crossAx val="612933259"/>
        <c:crosses val="autoZero"/>
        <c:crossBetween val="between"/>
      </c:valAx>
      <c:spPr>
        <a:noFill/>
        <a:ln>
          <a:noFill/>
        </a:ln>
        <a:effectLst/>
      </c:spPr>
    </c:plotArea>
    <c:plotVisOnly val="1"/>
    <c:dispBlanksAs val="gap"/>
    <c:showDLblsOverMax val="0"/>
    <c:extLst>
      <c:ext uri="{0b15fc19-7d7d-44ad-8c2d-2c3a37ce22c3}">
        <chartProps xmlns="https://web.wps.cn/et/2018/main" chartId="{aaef8140-4f6e-4a1b-9a56-69aa727a14da}"/>
      </c:ext>
    </c:extLst>
  </c:chart>
  <c:spPr>
    <a:solidFill>
      <a:schemeClr val="bg1"/>
    </a:solidFill>
    <a:ln w="9525" cap="flat" cmpd="sng" algn="ctr">
      <a:solidFill>
        <a:schemeClr val="tx1">
          <a:lumMod val="15000"/>
          <a:lumOff val="85000"/>
        </a:schemeClr>
      </a:solidFill>
      <a:round/>
    </a:ln>
    <a:effectLst/>
  </c:spPr>
  <c:txPr>
    <a:bodyPr/>
    <a:lstStyle/>
    <a:p>
      <a:pPr>
        <a:defRPr lang="zh-CN" sz="1400">
          <a:latin typeface="楷体_GB2312" panose="02010609030101010101" charset="-122"/>
          <a:ea typeface="楷体_GB2312" panose="02010609030101010101" charset="-122"/>
          <a:cs typeface="楷体_GB2312" panose="02010609030101010101" charset="-122"/>
          <a:sym typeface="楷体_GB2312" panose="02010609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1393</Words>
  <Characters>1437</Characters>
  <Lines>31</Lines>
  <Paragraphs>8</Paragraphs>
  <TotalTime>6</TotalTime>
  <ScaleCrop>false</ScaleCrop>
  <LinksUpToDate>false</LinksUpToDate>
  <CharactersWithSpaces>1438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木子李</cp:lastModifiedBy>
  <cp:lastPrinted>2024-01-30T06:04:00Z</cp:lastPrinted>
  <dcterms:modified xsi:type="dcterms:W3CDTF">2025-01-14T08:45:25Z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54661C4D34F64FE88A497D23FF233C66_13</vt:lpwstr>
  </property>
  <property fmtid="{D5CDD505-2E9C-101B-9397-08002B2CF9AE}" pid="4" name="KSOTemplateDocerSaveRecord">
    <vt:lpwstr>eyJoZGlkIjoiZjVhMzM4MTcyZjAyYjA5ODVkODlkNzVlZDk0MmRlYTkiLCJ1c2VySWQiOiI0MDEyNDMwNjAifQ==</vt:lpwstr>
  </property>
</Properties>
</file>