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安丘市砂资源河道养护中心2020年</w:t>
      </w:r>
    </w:p>
    <w:p>
      <w:pPr>
        <w:widowControl/>
        <w:spacing w:line="600" w:lineRule="exact"/>
        <w:jc w:val="center"/>
        <w:rPr>
          <w:rFonts w:ascii="方正小标宋简体" w:hAnsi="宋体" w:eastAsia="方正小标宋简体" w:cs="宋体"/>
          <w:color w:val="000000"/>
          <w:kern w:val="0"/>
          <w:sz w:val="44"/>
          <w:szCs w:val="44"/>
          <w:shd w:val="clear" w:color="auto" w:fill="FFFFFF"/>
        </w:rPr>
      </w:pPr>
      <w:r>
        <w:rPr>
          <w:rFonts w:hint="eastAsia" w:ascii="方正小标宋简体" w:hAnsi="宋体" w:eastAsia="方正小标宋简体" w:cs="宋体"/>
          <w:color w:val="000000"/>
          <w:kern w:val="0"/>
          <w:sz w:val="44"/>
          <w:szCs w:val="44"/>
          <w:shd w:val="clear" w:color="auto" w:fill="FFFFFF"/>
        </w:rPr>
        <w:t>政府信息公开工作年度报告</w:t>
      </w:r>
    </w:p>
    <w:p>
      <w:pPr>
        <w:widowControl/>
        <w:spacing w:line="600" w:lineRule="exact"/>
        <w:ind w:firstLine="640" w:firstLineChars="200"/>
        <w:jc w:val="left"/>
        <w:rPr>
          <w:rFonts w:ascii="仿宋_GB2312" w:hAnsi="宋体" w:eastAsia="仿宋_GB2312" w:cs="宋体"/>
          <w:color w:val="000000"/>
          <w:kern w:val="0"/>
          <w:sz w:val="32"/>
          <w:szCs w:val="32"/>
          <w:shd w:val="clear" w:color="auto" w:fill="FFFFFF"/>
        </w:rPr>
      </w:pPr>
    </w:p>
    <w:p>
      <w:pPr>
        <w:widowControl/>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shd w:val="clear" w:color="auto" w:fill="FFFFFF"/>
        </w:rPr>
        <w:t>根据《中华人民共和国政府信息公开条例》</w:t>
      </w:r>
      <w:bookmarkStart w:id="0" w:name="_GoBack"/>
      <w:bookmarkEnd w:id="0"/>
      <w:r>
        <w:rPr>
          <w:rFonts w:hint="eastAsia" w:ascii="仿宋_GB2312" w:hAnsi="宋体" w:eastAsia="仿宋_GB2312" w:cs="宋体"/>
          <w:color w:val="000000"/>
          <w:kern w:val="0"/>
          <w:sz w:val="32"/>
          <w:szCs w:val="32"/>
          <w:shd w:val="clear" w:color="auto" w:fill="FFFFFF"/>
        </w:rPr>
        <w:t>《安丘市人民政府办公室关于做好2020年政府信息公开工作年度报告编制发布和报送工作的通知》要求，结合我单位实际，编制并向社会公开安丘市砂资源河道养护中心2020年政府信息公开工作年度报告。本年度报告中所列数据的统计期限自2020年1月1日起，至2020年12月31日止。如对本报告有疑问，请联系安丘市砂资源河道养护中心办公室，联系电话:0536-2263526。</w:t>
      </w:r>
    </w:p>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一、总体情况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2020年，市砂资源河道养护中心认真贯彻落实党中央、国务院和省、市关于政府信息公开工作的部署要求，进一步调整优化公开目录，深入拓展公开渠道，持续丰富公开形式，及时回应社会关切，不断提升政府信息公开工作力度和实效，政府信息公开水平实现新的突破。</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（一）主动公开情况。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截止2020年12月31日，主动公开政府信息9条。其中，通过政府信息公开专栏主动公开政府信息9条，通过门户网站主动公开政府信息9条，通过政务微博、微信主动公开政府信息0条，通过各级媒体等其他方式主动公开政府信息0条。其中,概况信息1条，法规文件及解读1条，财政信息1条，减税降费信息0条，行政权力及“放管服”0条，人大建议政协提案1条，其他重点领域信息0条，业务信息及其他类信息5条。</w:t>
      </w:r>
    </w:p>
    <w:p>
      <w:pPr>
        <w:widowControl/>
        <w:numPr>
          <w:ilvl w:val="0"/>
          <w:numId w:val="1"/>
        </w:numPr>
        <w:shd w:val="clear" w:color="auto" w:fill="FFFFFF"/>
        <w:spacing w:line="60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及时公开机构概况。根据《政府信息公开条例》第二十条第（二）款要求，在机构改革完成后，第一时间更新机关职能、机构设置、办公地址、办公时间、联系方式、负责人姓名，并在市政府信息公开专栏和局机关网站公布。</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2.及时公开财政领域信息。根据《政府信息公开条例》第二十条第（七）款要求，结合安丘实际，按年公开我单位财政收支情况，及时分析财政收支走势，便于公众了解财政情况。</w:t>
      </w:r>
      <w:r>
        <w:rPr>
          <w:rFonts w:hint="eastAsia" w:ascii="仿宋_GB2312" w:hAnsi="宋体" w:eastAsia="仿宋_GB2312" w:cs="宋体"/>
          <w:color w:val="000000"/>
          <w:kern w:val="0"/>
          <w:sz w:val="32"/>
          <w:szCs w:val="32"/>
        </w:rPr>
        <w:t>　　</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推进重点领域信息公开。一是动态公开市政府年度重点任务信息。对政府工作报告确定任务、年度重点工作和重点民生举措，均建立工作台账，在政府信息公开专栏主动公开，方便社会公众知晓。二是公开“双随机、一公开”监管信息。制定2020年“双随机、一公开”监管随机抽查事项清单，拟定年度抽查计划，及时公开抽查结果信息。</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（二）依申请公开情况。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1.依申请公开情况。市砂资源河道养护中心2020年共收到政府信息公开申请1件，其中网络申请0件、信件申请1件，内容涉及</w:t>
      </w:r>
      <w:r>
        <w:rPr>
          <w:rFonts w:hint="eastAsia" w:ascii="仿宋_GB2312" w:hAnsi="仿宋_GB2312" w:eastAsia="仿宋_GB2312" w:cs="仿宋_GB2312"/>
          <w:sz w:val="32"/>
          <w:szCs w:val="32"/>
        </w:rPr>
        <w:t>预决算信息</w:t>
      </w:r>
      <w:r>
        <w:rPr>
          <w:rFonts w:hint="eastAsia" w:ascii="仿宋_GB2312" w:hAnsi="宋体" w:eastAsia="仿宋_GB2312" w:cs="宋体"/>
          <w:color w:val="000000"/>
          <w:kern w:val="0"/>
          <w:sz w:val="32"/>
          <w:szCs w:val="32"/>
          <w:shd w:val="clear" w:color="auto" w:fill="FFFFFF"/>
        </w:rPr>
        <w:t>等方面。</w:t>
      </w:r>
    </w:p>
    <w:p>
      <w:pPr>
        <w:widowControl/>
        <w:shd w:val="clear" w:color="auto" w:fill="FFFFFF"/>
        <w:spacing w:line="60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宋体" w:eastAsia="仿宋_GB2312" w:cs="宋体"/>
          <w:color w:val="000000"/>
          <w:kern w:val="0"/>
          <w:sz w:val="32"/>
          <w:szCs w:val="32"/>
          <w:shd w:val="clear" w:color="auto" w:fill="FFFFFF"/>
        </w:rPr>
        <w:t>2.申请处理情况。共答复政府信息公开申请1件，按时办结1件，按时办结率100%。其中，属于同意公开答复1件。</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3.申请行政复议、提起行政诉讼情况。全年未发生因政府信息公开被行政复议、提起行政诉讼情况。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（三）政府信息管理情况。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一是完善信息公开管理流程。建立政府信息公开工作全流程管理机制，设置具体经办人员、科长、办公室四道审核把关机制，重要信息须局分管负责人把关审签，最大限度保证公开内容经得起审查。</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w:t>
      </w:r>
      <w:r>
        <w:rPr>
          <w:rFonts w:hint="eastAsia" w:ascii="仿宋_GB2312" w:hAnsi="宋体" w:eastAsia="仿宋_GB2312" w:cs="宋体"/>
          <w:color w:val="000000"/>
          <w:kern w:val="0"/>
          <w:sz w:val="32"/>
          <w:szCs w:val="32"/>
          <w:shd w:val="clear" w:color="auto" w:fill="FFFFFF"/>
        </w:rPr>
        <w:t>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（四）平台建设情况。</w:t>
      </w:r>
    </w:p>
    <w:p>
      <w:pPr>
        <w:widowControl/>
        <w:wordWrap w:val="0"/>
        <w:spacing w:line="560" w:lineRule="atLeas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健全组织机构，安排专人负责信息公开工作；完善平台目录设置，丰富和及时更新公开内容，提高信息化管理程度；加强与新闻媒体的沟通，及时在报纸、电视台等媒体上发布相关政府信息，让群众多渠道了解我单位工作情况；通过本单位设置的公开栏及时发布各类政务信息。</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（五）机构建设及人员配置情况。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按照机构建设要求，结合内部科室调整情况，及时调整政务公开领导小组，重新确定分管负责人，全面负责做好政府信息公开管理工作，办公室为信息公开工作机构，并安排专人具体负责，同时，各科室也将信息公开工作作为日常工作的规定动作，适合公开发布的信息及时主动报送办公室，确保信息准确性和时效性。</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（六）监督保障情况。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1.强化考核监督。坚持提高站位，将政府信息公开工作，纳入年度绩效考核体系，激发政府信息公开工作积极性和主动性。</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2.完善工作机制。制定《2020年政务公开工作实施方案》，明确政府信息公开工作原则、年度任务和工作要求。梳理完成《市砂资源河道养护中心政府信息主动公开基本目录》，进一步明确政府信息公开的内容、时限、形式、主体等要素。以网站为依托，明确规定各科室、单位每月外网维护任务，压实各级责任。</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3.抓好队伍培训。积极参加市政府组织的政府信息公开工作会议和业务培训，主动对各科室单位政府信息公开工作负责人进行培训，切实提高对政府信息公开工作的认识水平和工作能力。</w:t>
      </w:r>
      <w:r>
        <w:rPr>
          <w:rFonts w:hint="eastAsia" w:ascii="仿宋_GB2312" w:hAnsi="宋体" w:eastAsia="仿宋_GB2312" w:cs="宋体"/>
          <w:color w:val="000000"/>
          <w:kern w:val="0"/>
          <w:sz w:val="32"/>
          <w:szCs w:val="32"/>
        </w:rPr>
        <w:t>   </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(七）工作考核、社会评议和责任结果追究结果情况。 </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建立考核制度。根据市政府政务公开办公室政务公开日常记账考核制度，制定政务公开考核制度，主动接受市政府政务公开办公室对我单位政务公开工作的监督，发现问题及时整改。同时，政务公开办公室负责对各科室工作进行考核监督，对工作不到位的地方，及时反馈改进，确保政务信息及时准确发布。 </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2、主动听取社会公众意见。对于需要向社会进行意见征集的，通过网站、政务微信、微博公示、向相关单位发送征求意见函和召开座谈会等多种途径，主动听取社会公众意见建议。 </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3、责任追究结果情况。2020年度我单位未出现因信息公开不到位需要进行责任结果追究结果的情况。</w:t>
      </w:r>
    </w:p>
    <w:p>
      <w:pPr>
        <w:widowControl/>
        <w:numPr>
          <w:ilvl w:val="0"/>
          <w:numId w:val="2"/>
        </w:numPr>
        <w:shd w:val="clear" w:color="auto" w:fill="FFFFFF"/>
        <w:spacing w:line="600" w:lineRule="exact"/>
        <w:ind w:firstLine="640" w:firstLineChars="200"/>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主动公开政府信息情况</w:t>
      </w:r>
    </w:p>
    <w:tbl>
      <w:tblPr>
        <w:tblStyle w:val="6"/>
        <w:tblW w:w="8708" w:type="dxa"/>
        <w:jc w:val="center"/>
        <w:tblLayout w:type="autofit"/>
        <w:tblCellMar>
          <w:top w:w="15" w:type="dxa"/>
          <w:left w:w="15" w:type="dxa"/>
          <w:bottom w:w="15" w:type="dxa"/>
          <w:right w:w="15" w:type="dxa"/>
        </w:tblCellMar>
      </w:tblPr>
      <w:tblGrid>
        <w:gridCol w:w="3073"/>
        <w:gridCol w:w="17"/>
        <w:gridCol w:w="2095"/>
        <w:gridCol w:w="1505"/>
        <w:gridCol w:w="2018"/>
      </w:tblGrid>
      <w:tr>
        <w:tblPrEx>
          <w:tblCellMar>
            <w:top w:w="15" w:type="dxa"/>
            <w:left w:w="15" w:type="dxa"/>
            <w:bottom w:w="15" w:type="dxa"/>
            <w:right w:w="15"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第二十条第（一）项</w:t>
            </w:r>
          </w:p>
        </w:tc>
      </w:tr>
      <w:tr>
        <w:tblPrEx>
          <w:tblCellMar>
            <w:top w:w="15" w:type="dxa"/>
            <w:left w:w="15" w:type="dxa"/>
            <w:bottom w:w="15" w:type="dxa"/>
            <w:right w:w="15"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本年新</w:t>
            </w:r>
            <w:r>
              <w:rPr>
                <w:rFonts w:hint="eastAsia" w:ascii="宋体" w:hAnsi="宋体" w:cs="宋体"/>
                <w:color w:val="000000"/>
                <w:kern w:val="0"/>
                <w:sz w:val="24"/>
              </w:rPr>
              <w:br w:type="textWrapping"/>
            </w:r>
            <w:r>
              <w:rPr>
                <w:rFonts w:hint="eastAsia" w:ascii="宋体" w:hAnsi="宋体" w:cs="宋体"/>
                <w:color w:val="000000"/>
                <w:kern w:val="0"/>
                <w:sz w:val="24"/>
              </w:rPr>
              <w:t>公开数量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pPr>
            <w:r>
              <w:rPr>
                <w:rFonts w:hint="eastAsia" w:ascii="宋体" w:hAnsi="宋体" w:cs="宋体"/>
                <w:color w:val="000000"/>
                <w:kern w:val="0"/>
                <w:sz w:val="24"/>
              </w:rPr>
              <w:t>对外公开</w:t>
            </w:r>
          </w:p>
          <w:p>
            <w:pPr>
              <w:widowControl/>
              <w:jc w:val="center"/>
              <w:rPr>
                <w:rFonts w:cs="宋体" w:asciiTheme="minorEastAsia" w:hAnsiTheme="minorEastAsia"/>
                <w:kern w:val="0"/>
                <w:szCs w:val="21"/>
              </w:rPr>
            </w:pPr>
            <w:r>
              <w:rPr>
                <w:rFonts w:hint="eastAsia" w:ascii="宋体" w:hAnsi="宋体" w:cs="宋体"/>
                <w:color w:val="000000"/>
                <w:kern w:val="0"/>
                <w:sz w:val="24"/>
              </w:rPr>
              <w:t>总数量</w:t>
            </w:r>
          </w:p>
        </w:tc>
      </w:tr>
      <w:tr>
        <w:tblPrEx>
          <w:tblCellMar>
            <w:top w:w="15" w:type="dxa"/>
            <w:left w:w="15" w:type="dxa"/>
            <w:bottom w:w="15" w:type="dxa"/>
            <w:right w:w="15"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 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　0</w:t>
            </w:r>
          </w:p>
        </w:tc>
      </w:tr>
      <w:tr>
        <w:tblPrEx>
          <w:tblCellMar>
            <w:top w:w="15" w:type="dxa"/>
            <w:left w:w="15" w:type="dxa"/>
            <w:bottom w:w="15" w:type="dxa"/>
            <w:right w:w="15"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　　</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 xml:space="preserve">    0 </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 xml:space="preserve">  </w:t>
            </w:r>
            <w:r>
              <w:rPr>
                <w:rFonts w:hint="eastAsia" w:ascii="宋体" w:hAnsi="宋体" w:cs="宋体"/>
                <w:color w:val="000000"/>
                <w:kern w:val="0"/>
                <w:sz w:val="24"/>
              </w:rPr>
              <w:t>0</w:t>
            </w:r>
          </w:p>
        </w:tc>
      </w:tr>
      <w:tr>
        <w:tblPrEx>
          <w:tblCellMar>
            <w:top w:w="15" w:type="dxa"/>
            <w:left w:w="15" w:type="dxa"/>
            <w:bottom w:w="15" w:type="dxa"/>
            <w:right w:w="15"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第二十条第（五）项</w:t>
            </w:r>
          </w:p>
        </w:tc>
      </w:tr>
      <w:tr>
        <w:tblPrEx>
          <w:tblCellMar>
            <w:top w:w="15" w:type="dxa"/>
            <w:left w:w="15" w:type="dxa"/>
            <w:bottom w:w="15" w:type="dxa"/>
            <w:right w:w="15"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处理决定数量</w:t>
            </w:r>
          </w:p>
        </w:tc>
      </w:tr>
      <w:tr>
        <w:tblPrEx>
          <w:tblCellMar>
            <w:top w:w="15" w:type="dxa"/>
            <w:left w:w="15" w:type="dxa"/>
            <w:bottom w:w="15" w:type="dxa"/>
            <w:right w:w="15"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r>
      <w:tr>
        <w:tblPrEx>
          <w:tblCellMar>
            <w:top w:w="15" w:type="dxa"/>
            <w:left w:w="15" w:type="dxa"/>
            <w:bottom w:w="15" w:type="dxa"/>
            <w:right w:w="15"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r>
      <w:tr>
        <w:tblPrEx>
          <w:tblCellMar>
            <w:top w:w="15" w:type="dxa"/>
            <w:left w:w="15" w:type="dxa"/>
            <w:bottom w:w="15" w:type="dxa"/>
            <w:right w:w="15"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第二十条第（六）项</w:t>
            </w:r>
          </w:p>
        </w:tc>
      </w:tr>
      <w:tr>
        <w:tblPrEx>
          <w:tblCellMar>
            <w:top w:w="15" w:type="dxa"/>
            <w:left w:w="15" w:type="dxa"/>
            <w:bottom w:w="15" w:type="dxa"/>
            <w:right w:w="15"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本年增/减</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处理决定数量</w:t>
            </w:r>
          </w:p>
        </w:tc>
      </w:tr>
      <w:tr>
        <w:tblPrEx>
          <w:tblCellMar>
            <w:top w:w="15" w:type="dxa"/>
            <w:left w:w="15" w:type="dxa"/>
            <w:bottom w:w="15" w:type="dxa"/>
            <w:right w:w="15"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r>
      <w:tr>
        <w:tblPrEx>
          <w:tblCellMar>
            <w:top w:w="15" w:type="dxa"/>
            <w:left w:w="15" w:type="dxa"/>
            <w:bottom w:w="15" w:type="dxa"/>
            <w:right w:w="15"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150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c>
          <w:tcPr>
            <w:tcW w:w="20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r>
      <w:tr>
        <w:tblPrEx>
          <w:tblCellMar>
            <w:top w:w="15" w:type="dxa"/>
            <w:left w:w="15" w:type="dxa"/>
            <w:bottom w:w="15" w:type="dxa"/>
            <w:right w:w="15"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第二十条第（八）项</w:t>
            </w:r>
          </w:p>
        </w:tc>
      </w:tr>
      <w:tr>
        <w:tblPrEx>
          <w:tblCellMar>
            <w:top w:w="15" w:type="dxa"/>
            <w:left w:w="15" w:type="dxa"/>
            <w:bottom w:w="15" w:type="dxa"/>
            <w:right w:w="15"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本年增/减</w:t>
            </w:r>
          </w:p>
        </w:tc>
      </w:tr>
      <w:tr>
        <w:tblPrEx>
          <w:tblCellMar>
            <w:top w:w="15" w:type="dxa"/>
            <w:left w:w="15" w:type="dxa"/>
            <w:bottom w:w="15" w:type="dxa"/>
            <w:right w:w="15"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　0</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0 </w:t>
            </w:r>
          </w:p>
        </w:tc>
      </w:tr>
      <w:tr>
        <w:tblPrEx>
          <w:tblCellMar>
            <w:top w:w="15" w:type="dxa"/>
            <w:left w:w="15" w:type="dxa"/>
            <w:bottom w:w="15" w:type="dxa"/>
            <w:right w:w="15"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第二十条第（九）项</w:t>
            </w:r>
          </w:p>
        </w:tc>
      </w:tr>
      <w:tr>
        <w:tblPrEx>
          <w:tblCellMar>
            <w:top w:w="15" w:type="dxa"/>
            <w:left w:w="15" w:type="dxa"/>
            <w:bottom w:w="15" w:type="dxa"/>
            <w:right w:w="15"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信息内容</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采购总金额</w:t>
            </w:r>
          </w:p>
        </w:tc>
      </w:tr>
      <w:tr>
        <w:tblPrEx>
          <w:tblCellMar>
            <w:top w:w="15" w:type="dxa"/>
            <w:left w:w="15" w:type="dxa"/>
            <w:bottom w:w="15" w:type="dxa"/>
            <w:right w:w="15"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color w:val="000000"/>
                <w:kern w:val="0"/>
                <w:sz w:val="24"/>
              </w:rPr>
              <w:t>政府集中采购</w:t>
            </w:r>
          </w:p>
        </w:tc>
        <w:tc>
          <w:tcPr>
            <w:tcW w:w="20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　</w:t>
            </w:r>
          </w:p>
        </w:tc>
        <w:tc>
          <w:tcPr>
            <w:tcW w:w="3523" w:type="dxa"/>
            <w:gridSpan w:val="2"/>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4"/>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三、收到和处理政府信息公开申请情况</w:t>
      </w:r>
    </w:p>
    <w:tbl>
      <w:tblPr>
        <w:tblStyle w:val="6"/>
        <w:tblW w:w="907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15" w:type="dxa"/>
          <w:left w:w="15" w:type="dxa"/>
          <w:bottom w:w="15" w:type="dxa"/>
          <w:right w:w="15" w:type="dxa"/>
        </w:tblCellMar>
      </w:tblPr>
      <w:tblGrid>
        <w:gridCol w:w="616"/>
        <w:gridCol w:w="1405"/>
        <w:gridCol w:w="2793"/>
        <w:gridCol w:w="842"/>
        <w:gridCol w:w="562"/>
        <w:gridCol w:w="562"/>
        <w:gridCol w:w="562"/>
        <w:gridCol w:w="562"/>
        <w:gridCol w:w="536"/>
        <w:gridCol w:w="63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rPr>
              <w:t>（本列数据的勾稽关系为：第一项加第二项之和，</w:t>
            </w:r>
          </w:p>
          <w:p>
            <w:pPr>
              <w:widowControl/>
              <w:jc w:val="center"/>
            </w:pPr>
            <w:r>
              <w:rPr>
                <w:rFonts w:hint="eastAsia" w:ascii="宋体" w:hAnsi="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pPr>
            <w:r>
              <w:rPr>
                <w:rFonts w:hint="eastAsia" w:ascii="宋体" w:hAnsi="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850"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pPr>
            <w:r>
              <w:rPr>
                <w:rFonts w:hint="eastAsia" w:ascii="宋体" w:hAnsi="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 w:val="20"/>
                <w:szCs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850"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hanging="1"/>
              <w:jc w:val="center"/>
            </w:pPr>
            <w:r>
              <w:rPr>
                <w:rFonts w:hint="eastAsia" w:ascii="宋体" w:hAnsi="宋体" w:cs="宋体"/>
                <w:kern w:val="0"/>
                <w:sz w:val="20"/>
                <w:szCs w:val="20"/>
              </w:rPr>
              <w:t>商业企业</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pPr>
            <w:r>
              <w:rPr>
                <w:rFonts w:hint="eastAsia" w:ascii="宋体" w:hAnsi="宋体" w:cs="宋体"/>
                <w:kern w:val="0"/>
                <w:sz w:val="20"/>
                <w:szCs w:val="20"/>
              </w:rPr>
              <w:t>科研机构</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7" w:right="-107"/>
              <w:jc w:val="center"/>
            </w:pPr>
            <w:r>
              <w:rPr>
                <w:rFonts w:hint="eastAsia" w:ascii="宋体" w:hAnsi="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ind w:left="-106" w:right="-107" w:hanging="1"/>
              <w:jc w:val="center"/>
            </w:pPr>
            <w:r>
              <w:rPr>
                <w:rFonts w:hint="eastAsia" w:ascii="宋体" w:hAnsi="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tLeast"/>
              <w:ind w:left="-63" w:right="-134"/>
              <w:jc w:val="center"/>
            </w:pPr>
            <w:r>
              <w:rPr>
                <w:rFonts w:hint="eastAsia" w:ascii="宋体" w:hAnsi="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pPr>
            <w:r>
              <w:rPr>
                <w:rFonts w:hint="eastAsia" w:ascii="宋体" w:hAnsi="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pPr>
            <w:r>
              <w:rPr>
                <w:rFonts w:hint="eastAsia" w:ascii="宋体" w:hAnsi="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left"/>
            </w:pPr>
            <w:r>
              <w:rPr>
                <w:rFonts w:hint="eastAsia" w:ascii="宋体" w:hAnsi="宋体" w:cs="宋体"/>
                <w:kern w:val="0"/>
                <w:sz w:val="20"/>
                <w:szCs w:val="20"/>
              </w:rPr>
              <w:t>三、本年度办理结果</w:t>
            </w: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ind w:left="-107"/>
              <w:jc w:val="left"/>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atLeast"/>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atLeast"/>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atLeast"/>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atLeast"/>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ind w:left="-107"/>
              <w:jc w:val="left"/>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ind w:left="-107"/>
              <w:jc w:val="left"/>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1418" w:type="dxa"/>
            <w:vMerge w:val="continue"/>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28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atLeast"/>
              <w:jc w:val="left"/>
            </w:pPr>
            <w:r>
              <w:rPr>
                <w:rFonts w:hint="eastAsia" w:ascii="楷体" w:hAnsi="楷体" w:eastAsia="楷体" w:cs="楷体"/>
                <w:kern w:val="0"/>
                <w:sz w:val="20"/>
                <w:szCs w:val="20"/>
              </w:rPr>
              <w:t>5.要求行政机关确认或重新</w:t>
            </w:r>
          </w:p>
          <w:p>
            <w:pPr>
              <w:widowControl/>
              <w:spacing w:line="300" w:lineRule="atLeast"/>
              <w:ind w:firstLine="200"/>
              <w:jc w:val="left"/>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97" w:hRule="atLeast"/>
          <w:jc w:val="center"/>
        </w:trPr>
        <w:tc>
          <w:tcPr>
            <w:tcW w:w="525" w:type="dxa"/>
            <w:vMerge w:val="continue"/>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宋体" w:hAnsi="宋体" w:cs="宋体"/>
                <w:sz w:val="24"/>
              </w:rPr>
            </w:pPr>
          </w:p>
        </w:tc>
        <w:tc>
          <w:tcPr>
            <w:tcW w:w="425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00" w:lineRule="atLeast"/>
              <w:jc w:val="lef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1</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778"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pPr>
            <w:r>
              <w:rPr>
                <w:rFonts w:hint="eastAsia" w:ascii="宋体" w:hAnsi="宋体" w:cs="宋体"/>
                <w:kern w:val="0"/>
                <w:sz w:val="20"/>
                <w:szCs w:val="20"/>
              </w:rPr>
              <w:t>四、结转下年度继续办理</w:t>
            </w: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6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5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c>
          <w:tcPr>
            <w:tcW w:w="6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pPr>
            <w:r>
              <w:rPr>
                <w:rFonts w:hint="eastAsia" w:ascii="宋体" w:hAnsi="宋体" w:cs="宋体"/>
                <w:kern w:val="0"/>
                <w:szCs w:val="21"/>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四、政府信息公开行政复议、行政诉讼情况</w:t>
      </w:r>
    </w:p>
    <w:tbl>
      <w:tblPr>
        <w:tblStyle w:val="6"/>
        <w:tblW w:w="9071" w:type="dxa"/>
        <w:jc w:val="center"/>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kern w:val="0"/>
                <w:sz w:val="20"/>
                <w:szCs w:val="20"/>
              </w:rPr>
              <w:t>行政诉讼</w:t>
            </w:r>
          </w:p>
        </w:tc>
      </w:tr>
      <w:tr>
        <w:tblPrEx>
          <w:tblCellMar>
            <w:top w:w="15" w:type="dxa"/>
            <w:left w:w="15" w:type="dxa"/>
            <w:bottom w:w="15" w:type="dxa"/>
            <w:right w:w="15"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left="-149" w:right="-170"/>
              <w:jc w:val="center"/>
            </w:pPr>
            <w:r>
              <w:rPr>
                <w:rFonts w:hint="eastAsia" w:ascii="宋体" w:hAnsi="宋体" w:cs="宋体"/>
                <w:kern w:val="0"/>
                <w:sz w:val="20"/>
                <w:szCs w:val="20"/>
              </w:rPr>
              <w:t>结果</w:t>
            </w:r>
          </w:p>
          <w:p>
            <w:pPr>
              <w:widowControl/>
              <w:ind w:left="-149" w:right="-170"/>
              <w:jc w:val="center"/>
              <w:rPr>
                <w:rFonts w:cs="宋体" w:asciiTheme="minorEastAsia" w:hAnsiTheme="minorEastAsia"/>
                <w:kern w:val="0"/>
                <w:szCs w:val="21"/>
              </w:rPr>
            </w:pPr>
            <w:r>
              <w:rPr>
                <w:rFonts w:hint="eastAsia" w:ascii="宋体" w:hAnsi="宋体" w:cs="宋体"/>
                <w:kern w:val="0"/>
                <w:sz w:val="20"/>
                <w:szCs w:val="20"/>
              </w:rPr>
              <w:t>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left="-43" w:right="-132" w:hanging="1"/>
              <w:jc w:val="center"/>
              <w:rPr>
                <w:rFonts w:cs="宋体" w:asciiTheme="minorEastAsia" w:hAnsiTheme="minorEastAsia"/>
                <w:kern w:val="0"/>
                <w:szCs w:val="21"/>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82" w:right="-97"/>
              <w:jc w:val="center"/>
              <w:rPr>
                <w:rFonts w:cs="宋体" w:asciiTheme="minorEastAsia" w:hAnsiTheme="minorEastAsia"/>
                <w:kern w:val="0"/>
                <w:szCs w:val="21"/>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18" w:right="-118"/>
              <w:jc w:val="center"/>
            </w:pPr>
            <w:r>
              <w:rPr>
                <w:rFonts w:hint="eastAsia" w:ascii="宋体" w:hAnsi="宋体" w:cs="宋体"/>
                <w:kern w:val="0"/>
                <w:sz w:val="20"/>
                <w:szCs w:val="20"/>
              </w:rPr>
              <w:t>尚未</w:t>
            </w:r>
          </w:p>
          <w:p>
            <w:pPr>
              <w:widowControl/>
              <w:ind w:left="-118" w:right="-118"/>
              <w:jc w:val="center"/>
              <w:rPr>
                <w:rFonts w:cs="宋体" w:asciiTheme="minorEastAsia" w:hAnsiTheme="minorEastAsia"/>
                <w:kern w:val="0"/>
                <w:szCs w:val="21"/>
              </w:rPr>
            </w:pPr>
            <w:r>
              <w:rPr>
                <w:rFonts w:hint="eastAsia" w:ascii="宋体" w:hAnsi="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atLeast"/>
              <w:jc w:val="center"/>
            </w:pPr>
            <w:r>
              <w:rPr>
                <w:rFonts w:hint="eastAsia" w:ascii="宋体" w:hAnsi="宋体" w:cs="宋体"/>
                <w:kern w:val="0"/>
                <w:sz w:val="20"/>
                <w:szCs w:val="20"/>
              </w:rPr>
              <w:t>总</w:t>
            </w:r>
          </w:p>
          <w:p>
            <w:pPr>
              <w:widowControl/>
              <w:spacing w:line="320" w:lineRule="atLeast"/>
              <w:jc w:val="center"/>
              <w:rPr>
                <w:rFonts w:cs="宋体" w:asciiTheme="minorEastAsia" w:hAnsiTheme="minorEastAsia"/>
                <w:kern w:val="0"/>
                <w:szCs w:val="21"/>
              </w:rPr>
            </w:pPr>
            <w:r>
              <w:rPr>
                <w:rFonts w:hint="eastAsia" w:ascii="宋体" w:hAnsi="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kern w:val="0"/>
                <w:sz w:val="20"/>
                <w:szCs w:val="20"/>
              </w:rPr>
              <w:t>复议后起诉</w:t>
            </w:r>
          </w:p>
        </w:tc>
      </w:tr>
      <w:tr>
        <w:tblPrEx>
          <w:tblCellMar>
            <w:top w:w="15" w:type="dxa"/>
            <w:left w:w="15" w:type="dxa"/>
            <w:bottom w:w="15" w:type="dxa"/>
            <w:right w:w="15"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p>
        </w:tc>
        <w:tc>
          <w:tcPr>
            <w:tcW w:w="604" w:type="dxa"/>
            <w:vMerge w:val="continue"/>
            <w:tcBorders>
              <w:top w:val="nil"/>
              <w:left w:val="nil"/>
              <w:bottom w:val="single" w:color="auto" w:sz="8" w:space="0"/>
              <w:right w:val="single" w:color="auto" w:sz="8" w:space="0"/>
            </w:tcBorders>
            <w:vAlign w:val="center"/>
          </w:tcPr>
          <w:p>
            <w:pPr>
              <w:rPr>
                <w:rFonts w:cs="宋体" w:asciiTheme="minorEastAsia" w:hAnsiTheme="minorEastAsia"/>
                <w:kern w:val="0"/>
                <w:szCs w:val="21"/>
              </w:rPr>
            </w:pPr>
          </w:p>
        </w:tc>
        <w:tc>
          <w:tcPr>
            <w:tcW w:w="604" w:type="dxa"/>
            <w:vMerge w:val="continue"/>
            <w:tcBorders>
              <w:top w:val="single" w:color="auto" w:sz="8" w:space="0"/>
              <w:left w:val="nil"/>
              <w:bottom w:val="single" w:color="auto" w:sz="8" w:space="0"/>
              <w:right w:val="single" w:color="auto" w:sz="8" w:space="0"/>
            </w:tcBorders>
            <w:vAlign w:val="center"/>
          </w:tcPr>
          <w:p>
            <w:pPr>
              <w:rPr>
                <w:rFonts w:cs="宋体" w:asciiTheme="minorEastAsia" w:hAnsiTheme="minorEastAsia"/>
                <w:kern w:val="0"/>
                <w:szCs w:val="21"/>
              </w:rPr>
            </w:pPr>
          </w:p>
        </w:tc>
        <w:tc>
          <w:tcPr>
            <w:tcW w:w="604" w:type="dxa"/>
            <w:vMerge w:val="continue"/>
            <w:tcBorders>
              <w:top w:val="single" w:color="auto" w:sz="8" w:space="0"/>
              <w:left w:val="nil"/>
              <w:bottom w:val="single" w:color="auto" w:sz="8" w:space="0"/>
              <w:right w:val="single" w:color="auto" w:sz="8" w:space="0"/>
            </w:tcBorders>
            <w:vAlign w:val="center"/>
          </w:tcPr>
          <w:p>
            <w:pPr>
              <w:rPr>
                <w:rFonts w:cs="宋体" w:asciiTheme="minorEastAsia" w:hAnsiTheme="minorEastAsia"/>
                <w:kern w:val="0"/>
                <w:szCs w:val="21"/>
              </w:rPr>
            </w:pPr>
          </w:p>
        </w:tc>
        <w:tc>
          <w:tcPr>
            <w:tcW w:w="658" w:type="dxa"/>
            <w:vMerge w:val="continue"/>
            <w:tcBorders>
              <w:top w:val="single" w:color="auto" w:sz="8" w:space="0"/>
              <w:left w:val="nil"/>
              <w:bottom w:val="single" w:color="auto" w:sz="8" w:space="0"/>
              <w:right w:val="single" w:color="auto" w:sz="8" w:space="0"/>
            </w:tcBorders>
            <w:vAlign w:val="center"/>
          </w:tcPr>
          <w:p>
            <w:pPr>
              <w:rPr>
                <w:rFonts w:cs="宋体" w:asciiTheme="minorEastAsia" w:hAnsiTheme="minorEastAsia"/>
                <w:kern w:val="0"/>
                <w:szCs w:val="21"/>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left="-105" w:right="-126"/>
              <w:jc w:val="center"/>
              <w:rPr>
                <w:rFonts w:cs="宋体" w:asciiTheme="minorEastAsia" w:hAnsiTheme="minorEastAsia"/>
                <w:kern w:val="0"/>
                <w:szCs w:val="21"/>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left="-86" w:right="-88"/>
              <w:jc w:val="center"/>
              <w:rPr>
                <w:rFonts w:cs="宋体" w:asciiTheme="minorEastAsia" w:hAnsiTheme="minorEastAsia"/>
                <w:kern w:val="0"/>
                <w:szCs w:val="21"/>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26" w:right="-136"/>
              <w:jc w:val="center"/>
            </w:pPr>
            <w:r>
              <w:rPr>
                <w:rFonts w:hint="eastAsia" w:ascii="宋体" w:hAnsi="宋体" w:cs="宋体"/>
                <w:kern w:val="0"/>
                <w:sz w:val="20"/>
                <w:szCs w:val="20"/>
              </w:rPr>
              <w:t>其他</w:t>
            </w:r>
          </w:p>
          <w:p>
            <w:pPr>
              <w:widowControl/>
              <w:ind w:left="-126" w:right="-136"/>
              <w:jc w:val="center"/>
              <w:rPr>
                <w:rFonts w:cs="宋体" w:asciiTheme="minorEastAsia" w:hAnsiTheme="minorEastAsia"/>
                <w:kern w:val="0"/>
                <w:szCs w:val="21"/>
              </w:rPr>
            </w:pPr>
            <w:r>
              <w:rPr>
                <w:rFonts w:hint="eastAsia" w:ascii="宋体" w:hAnsi="宋体" w:cs="宋体"/>
                <w:kern w:val="0"/>
                <w:sz w:val="20"/>
                <w:szCs w:val="20"/>
              </w:rPr>
              <w:t>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64" w:right="-153"/>
              <w:jc w:val="center"/>
            </w:pPr>
            <w:r>
              <w:rPr>
                <w:rFonts w:hint="eastAsia" w:ascii="宋体" w:hAnsi="宋体" w:cs="宋体"/>
                <w:kern w:val="0"/>
                <w:sz w:val="20"/>
                <w:szCs w:val="20"/>
              </w:rPr>
              <w:t>尚未</w:t>
            </w:r>
          </w:p>
          <w:p>
            <w:pPr>
              <w:widowControl/>
              <w:ind w:left="-164" w:right="-153"/>
              <w:jc w:val="center"/>
              <w:rPr>
                <w:rFonts w:cs="宋体" w:asciiTheme="minorEastAsia" w:hAnsiTheme="minorEastAsia"/>
                <w:kern w:val="0"/>
                <w:szCs w:val="21"/>
              </w:rPr>
            </w:pPr>
            <w:r>
              <w:rPr>
                <w:rFonts w:hint="eastAsia" w:ascii="宋体" w:hAnsi="宋体" w:cs="宋体"/>
                <w:kern w:val="0"/>
                <w:sz w:val="20"/>
                <w:szCs w:val="20"/>
              </w:rPr>
              <w:t>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99" w:right="-78"/>
              <w:jc w:val="center"/>
              <w:rPr>
                <w:rFonts w:cs="宋体" w:asciiTheme="minorEastAsia" w:hAnsiTheme="minorEastAsia"/>
                <w:kern w:val="0"/>
                <w:szCs w:val="21"/>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36" w:right="-124"/>
              <w:jc w:val="center"/>
            </w:pPr>
            <w:r>
              <w:rPr>
                <w:rFonts w:hint="eastAsia" w:ascii="宋体" w:hAnsi="宋体" w:cs="宋体"/>
                <w:kern w:val="0"/>
                <w:sz w:val="20"/>
                <w:szCs w:val="20"/>
              </w:rPr>
              <w:t>结果</w:t>
            </w:r>
          </w:p>
          <w:p>
            <w:pPr>
              <w:widowControl/>
              <w:ind w:left="-136" w:right="-124"/>
              <w:jc w:val="center"/>
              <w:rPr>
                <w:rFonts w:cs="宋体" w:asciiTheme="minorEastAsia" w:hAnsiTheme="minorEastAsia"/>
                <w:kern w:val="0"/>
                <w:szCs w:val="21"/>
              </w:rPr>
            </w:pPr>
            <w:r>
              <w:rPr>
                <w:rFonts w:hint="eastAsia" w:ascii="宋体" w:hAnsi="宋体" w:cs="宋体"/>
                <w:kern w:val="0"/>
                <w:sz w:val="20"/>
                <w:szCs w:val="20"/>
              </w:rPr>
              <w:t>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173" w:right="-134" w:hanging="1"/>
              <w:jc w:val="center"/>
            </w:pPr>
            <w:r>
              <w:rPr>
                <w:rFonts w:hint="eastAsia" w:ascii="宋体" w:hAnsi="宋体" w:cs="宋体"/>
                <w:color w:val="000000"/>
                <w:kern w:val="0"/>
                <w:sz w:val="20"/>
                <w:szCs w:val="20"/>
              </w:rPr>
              <w:t>其他</w:t>
            </w:r>
          </w:p>
          <w:p>
            <w:pPr>
              <w:widowControl/>
              <w:ind w:left="-173" w:right="-134" w:hanging="1"/>
              <w:jc w:val="center"/>
              <w:rPr>
                <w:rFonts w:cs="宋体" w:asciiTheme="minorEastAsia" w:hAnsiTheme="minorEastAsia"/>
                <w:kern w:val="0"/>
                <w:szCs w:val="21"/>
              </w:rPr>
            </w:pPr>
            <w:r>
              <w:rPr>
                <w:rFonts w:hint="eastAsia" w:ascii="宋体" w:hAnsi="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left="-67" w:right="-105" w:hanging="2"/>
              <w:jc w:val="center"/>
              <w:rPr>
                <w:rFonts w:cs="宋体" w:asciiTheme="minorEastAsia" w:hAnsiTheme="minorEastAsia"/>
                <w:kern w:val="0"/>
                <w:szCs w:val="21"/>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cs="宋体" w:asciiTheme="minorEastAsia" w:hAnsiTheme="minorEastAsia"/>
                <w:kern w:val="0"/>
                <w:szCs w:val="21"/>
              </w:rPr>
            </w:pPr>
            <w:r>
              <w:rPr>
                <w:rFonts w:hint="eastAsia" w:ascii="宋体" w:hAnsi="宋体" w:cs="宋体"/>
                <w:color w:val="000000"/>
                <w:kern w:val="0"/>
                <w:sz w:val="20"/>
                <w:szCs w:val="20"/>
              </w:rPr>
              <w:t>总计</w:t>
            </w:r>
          </w:p>
        </w:tc>
      </w:tr>
      <w:tr>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cs="宋体" w:asciiTheme="minorEastAsia" w:hAnsiTheme="minorEastAsia"/>
                <w:kern w:val="0"/>
                <w:szCs w:val="21"/>
              </w:rPr>
            </w:pPr>
            <w:r>
              <w:rPr>
                <w:rFonts w:hint="eastAsia" w:ascii="宋体" w:hAnsi="宋体" w:cs="宋体"/>
                <w:kern w:val="0"/>
                <w:szCs w:val="21"/>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cs="宋体" w:asciiTheme="minorEastAsia" w:hAnsiTheme="minorEastAsia"/>
                <w:kern w:val="0"/>
                <w:szCs w:val="21"/>
              </w:rPr>
            </w:pPr>
            <w:r>
              <w:rPr>
                <w:rFonts w:hint="eastAsia" w:ascii="宋体" w:hAnsi="宋体" w:cs="宋体"/>
                <w:kern w:val="0"/>
                <w:sz w:val="24"/>
              </w:rPr>
              <w:t>0</w:t>
            </w:r>
          </w:p>
        </w:tc>
      </w:tr>
    </w:tbl>
    <w:p>
      <w:pPr>
        <w:widowControl/>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shd w:val="clear" w:color="auto" w:fill="FFFFFF"/>
        </w:rPr>
        <w:t>五、存在的主要问题及改进情况</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（一）2019年问题整改情况。</w:t>
      </w:r>
    </w:p>
    <w:p>
      <w:pPr>
        <w:widowControl/>
        <w:shd w:val="clear" w:color="auto" w:fill="FFFFFF"/>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shd w:val="clear" w:color="auto" w:fill="FFFFFF"/>
        </w:rPr>
        <w:t>一是对政务公开时效性进行了加强，着重</w:t>
      </w:r>
      <w:r>
        <w:rPr>
          <w:rFonts w:hint="eastAsia" w:ascii="仿宋_GB2312" w:eastAsia="仿宋_GB2312" w:cs="仿宋_GB2312"/>
          <w:sz w:val="32"/>
          <w:szCs w:val="32"/>
          <w:shd w:val="clear" w:color="auto" w:fill="FFFFFF"/>
        </w:rPr>
        <w:t>加强政策解读公开的时效性，对热点问题主动回应；二是创新了政务公开内容和形式，积极采取图文并茂、喜闻乐见的方式进行公开；三是加强了人员配备，我单位现已配备政务公开兼职人员一名，壮大了队伍力量。</w:t>
      </w:r>
    </w:p>
    <w:p>
      <w:pPr>
        <w:widowControl/>
        <w:shd w:val="clear" w:color="auto" w:fill="FFFFFF"/>
        <w:spacing w:line="600" w:lineRule="exact"/>
        <w:ind w:firstLine="640" w:firstLineChars="200"/>
        <w:rPr>
          <w:rFonts w:ascii="楷体_GB2312" w:hAnsi="宋体" w:eastAsia="楷体_GB2312" w:cs="宋体"/>
          <w:color w:val="000000"/>
          <w:kern w:val="0"/>
          <w:sz w:val="32"/>
          <w:szCs w:val="32"/>
          <w:shd w:val="clear" w:color="auto" w:fill="FFFFFF"/>
        </w:rPr>
      </w:pPr>
      <w:r>
        <w:rPr>
          <w:rFonts w:hint="eastAsia" w:ascii="楷体_GB2312" w:hAnsi="宋体" w:eastAsia="楷体_GB2312" w:cs="宋体"/>
          <w:color w:val="000000"/>
          <w:kern w:val="0"/>
          <w:sz w:val="32"/>
          <w:szCs w:val="32"/>
          <w:shd w:val="clear" w:color="auto" w:fill="FFFFFF"/>
        </w:rPr>
        <w:t>（二）2020年存在的主要问题。</w:t>
      </w:r>
    </w:p>
    <w:p>
      <w:pPr>
        <w:widowControl/>
        <w:shd w:val="clear" w:color="auto" w:fill="FFFFFF"/>
        <w:spacing w:line="60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一是依法主动公开意识有待增强。少数干部职工对政府信息公开工作的重要性认识依然不足，怕公开、烦公开等惯性倾向依然存在，影响到主动公开工作的落实。</w:t>
      </w:r>
    </w:p>
    <w:p>
      <w:pPr>
        <w:widowControl/>
        <w:shd w:val="clear" w:color="auto" w:fill="FFFFFF"/>
        <w:spacing w:line="600" w:lineRule="exact"/>
        <w:ind w:firstLine="640" w:firstLineChars="200"/>
        <w:rPr>
          <w:rFonts w:ascii="仿宋_GB2312" w:hAnsi="宋体" w:eastAsia="仿宋_GB2312" w:cs="仿宋_GB2312"/>
          <w:color w:val="000000"/>
          <w:sz w:val="32"/>
          <w:szCs w:val="32"/>
          <w:shd w:val="clear" w:color="auto" w:fill="FFFFFF"/>
        </w:rPr>
      </w:pPr>
      <w:r>
        <w:rPr>
          <w:rFonts w:hint="eastAsia" w:ascii="仿宋_GB2312" w:eastAsia="仿宋_GB2312" w:cs="仿宋_GB2312"/>
          <w:sz w:val="32"/>
          <w:szCs w:val="32"/>
          <w:shd w:val="clear" w:color="auto" w:fill="FFFFFF"/>
        </w:rPr>
        <w:t>二是</w:t>
      </w:r>
      <w:r>
        <w:rPr>
          <w:rFonts w:ascii="仿宋_GB2312" w:hAnsi="宋体" w:eastAsia="仿宋_GB2312" w:cs="仿宋_GB2312"/>
          <w:color w:val="000000"/>
          <w:sz w:val="32"/>
          <w:szCs w:val="32"/>
          <w:shd w:val="clear" w:color="auto" w:fill="FFFFFF"/>
        </w:rPr>
        <w:t>在多个栏目重复发布相同的信息，未对信息做到准确摘选、精确发布，给信息检索造成一定的难度</w:t>
      </w:r>
      <w:r>
        <w:rPr>
          <w:rFonts w:hint="eastAsia" w:ascii="仿宋_GB2312" w:hAnsi="宋体" w:eastAsia="仿宋_GB2312" w:cs="仿宋_GB2312"/>
          <w:color w:val="000000"/>
          <w:sz w:val="32"/>
          <w:szCs w:val="32"/>
          <w:shd w:val="clear" w:color="auto" w:fill="FFFFFF"/>
        </w:rPr>
        <w:t>。</w:t>
      </w:r>
    </w:p>
    <w:p>
      <w:pPr>
        <w:widowControl/>
        <w:shd w:val="clear" w:color="auto" w:fill="FFFFFF"/>
        <w:spacing w:line="60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三是决策公开中对公众意见征集采纳反馈情况发布较少，形式较为单一。</w:t>
      </w:r>
    </w:p>
    <w:p>
      <w:pPr>
        <w:widowControl/>
        <w:shd w:val="clear" w:color="auto" w:fill="FFFFFF"/>
        <w:spacing w:line="600" w:lineRule="exact"/>
        <w:ind w:firstLine="640" w:firstLineChars="200"/>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shd w:val="clear" w:color="auto" w:fill="FFFFFF"/>
        </w:rPr>
        <w:t>（三）改进措施。</w:t>
      </w:r>
    </w:p>
    <w:p>
      <w:pPr>
        <w:widowControl/>
        <w:shd w:val="clear" w:color="auto" w:fill="FFFFFF"/>
        <w:spacing w:line="600" w:lineRule="exact"/>
        <w:ind w:firstLine="640" w:firstLineChars="200"/>
        <w:rPr>
          <w:rFonts w:ascii="仿宋_GB2312" w:eastAsia="仿宋_GB2312" w:cs="仿宋_GB2312"/>
          <w:sz w:val="32"/>
          <w:szCs w:val="32"/>
          <w:shd w:val="clear" w:color="auto" w:fill="FFFFFF"/>
        </w:rPr>
      </w:pPr>
      <w:r>
        <w:rPr>
          <w:rFonts w:hint="eastAsia" w:ascii="仿宋_GB2312" w:hAnsi="宋体" w:eastAsia="仿宋_GB2312" w:cs="宋体"/>
          <w:color w:val="000000"/>
          <w:kern w:val="0"/>
          <w:sz w:val="32"/>
          <w:szCs w:val="32"/>
          <w:shd w:val="clear" w:color="auto" w:fill="FFFFFF"/>
        </w:rPr>
        <w:t>一</w:t>
      </w:r>
      <w:r>
        <w:rPr>
          <w:rFonts w:hint="eastAsia" w:ascii="仿宋_GB2312" w:eastAsia="仿宋_GB2312" w:cs="仿宋_GB2312"/>
          <w:sz w:val="32"/>
          <w:szCs w:val="32"/>
          <w:shd w:val="clear" w:color="auto" w:fill="FFFFFF"/>
        </w:rPr>
        <w:t>是继续抓好政府信息公开前审查实施办法、政府信息依申请公开工作规程、政府信息发布规范和责任追究等政府信息公开配套制度的落实，促进政府信息公开规范化、常态化开展。</w:t>
      </w:r>
    </w:p>
    <w:p>
      <w:pPr>
        <w:widowControl/>
        <w:shd w:val="clear" w:color="auto" w:fill="FFFFFF"/>
        <w:spacing w:line="600" w:lineRule="exact"/>
        <w:ind w:firstLine="640" w:firstLineChars="200"/>
        <w:rPr>
          <w:rFonts w:ascii="仿宋_GB2312" w:eastAsia="仿宋_GB2312" w:cs="仿宋_GB2312"/>
          <w:sz w:val="32"/>
          <w:szCs w:val="32"/>
          <w:shd w:val="clear" w:color="auto" w:fill="FFFFFF"/>
        </w:rPr>
      </w:pPr>
      <w:r>
        <w:rPr>
          <w:rFonts w:hint="eastAsia" w:ascii="仿宋_GB2312" w:hAnsi="宋体" w:eastAsia="仿宋_GB2312" w:cs="仿宋_GB2312"/>
          <w:color w:val="000000"/>
          <w:sz w:val="32"/>
          <w:szCs w:val="32"/>
          <w:shd w:val="clear" w:color="auto" w:fill="FFFFFF"/>
        </w:rPr>
        <w:t>二是</w:t>
      </w:r>
      <w:r>
        <w:rPr>
          <w:rFonts w:ascii="仿宋_GB2312" w:hAnsi="宋体" w:eastAsia="仿宋_GB2312" w:cs="仿宋_GB2312"/>
          <w:color w:val="000000"/>
          <w:sz w:val="32"/>
          <w:szCs w:val="32"/>
          <w:shd w:val="clear" w:color="auto" w:fill="FFFFFF"/>
        </w:rPr>
        <w:t>运用图片、图表形象解读重要文件待加强，及时以公众喜闻乐见的图片、音频、短视频和动画形式制作发布信息。</w:t>
      </w:r>
    </w:p>
    <w:p>
      <w:pPr>
        <w:widowControl/>
        <w:shd w:val="clear" w:color="auto" w:fill="FFFFFF"/>
        <w:spacing w:line="600" w:lineRule="exact"/>
        <w:ind w:firstLine="640" w:firstLineChars="200"/>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三是对公众意见征集信息，完善应有对应的意见反馈信息。</w:t>
      </w:r>
    </w:p>
    <w:p>
      <w:pPr>
        <w:widowControl/>
        <w:numPr>
          <w:ilvl w:val="0"/>
          <w:numId w:val="3"/>
        </w:numPr>
        <w:shd w:val="clear" w:color="auto" w:fill="FFFFFF"/>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其他需要报告的事项</w:t>
      </w:r>
    </w:p>
    <w:p>
      <w:pPr>
        <w:widowControl/>
        <w:shd w:val="clear" w:color="auto" w:fill="FFFFFF"/>
        <w:spacing w:line="560" w:lineRule="exact"/>
        <w:ind w:firstLine="420" w:firstLineChars="200"/>
        <w:rPr>
          <w:rFonts w:hint="eastAsia" w:ascii="仿宋_GB2312" w:hAnsi="宋体" w:eastAsia="仿宋_GB2312" w:cs="宋体"/>
          <w:color w:val="000000"/>
          <w:kern w:val="0"/>
          <w:sz w:val="32"/>
          <w:szCs w:val="32"/>
        </w:rPr>
      </w:pPr>
      <w:r>
        <w:rPr>
          <w:rFonts w:hint="eastAsia" w:ascii="楷体_GB2312" w:eastAsia="楷体_GB2312"/>
          <w:kern w:val="0"/>
        </w:rPr>
        <w:drawing>
          <wp:anchor distT="0" distB="0" distL="114300" distR="114300" simplePos="0" relativeHeight="251659264" behindDoc="0" locked="0" layoutInCell="1" allowOverlap="1">
            <wp:simplePos x="0" y="0"/>
            <wp:positionH relativeFrom="column">
              <wp:posOffset>134620</wp:posOffset>
            </wp:positionH>
            <wp:positionV relativeFrom="paragraph">
              <wp:posOffset>2696210</wp:posOffset>
            </wp:positionV>
            <wp:extent cx="4897120" cy="2193290"/>
            <wp:effectExtent l="19050" t="0" r="0" b="0"/>
            <wp:wrapSquare wrapText="bothSides"/>
            <wp:docPr id="13" name="图片 6"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无标题.png"/>
                    <pic:cNvPicPr>
                      <a:picLocks noChangeAspect="1"/>
                    </pic:cNvPicPr>
                  </pic:nvPicPr>
                  <pic:blipFill>
                    <a:blip r:embed="rId5" cstate="print"/>
                    <a:stretch>
                      <a:fillRect/>
                    </a:stretch>
                  </pic:blipFill>
                  <pic:spPr>
                    <a:xfrm>
                      <a:off x="0" y="0"/>
                      <a:ext cx="4897120" cy="2193290"/>
                    </a:xfrm>
                    <a:prstGeom prst="rect">
                      <a:avLst/>
                    </a:prstGeom>
                  </pic:spPr>
                </pic:pic>
              </a:graphicData>
            </a:graphic>
          </wp:anchor>
        </w:drawing>
      </w:r>
      <w:r>
        <w:rPr>
          <w:rFonts w:hint="eastAsia" w:ascii="楷体_GB2312" w:hAnsi="宋体" w:eastAsia="楷体_GB2312" w:cs="宋体"/>
          <w:color w:val="000000"/>
          <w:kern w:val="0"/>
          <w:sz w:val="32"/>
          <w:szCs w:val="32"/>
        </w:rPr>
        <w:t>人大建议、政协提案办理情况。</w:t>
      </w:r>
      <w:r>
        <w:rPr>
          <w:rFonts w:hint="eastAsia" w:ascii="仿宋_GB2312" w:hAnsi="宋体" w:eastAsia="仿宋_GB2312" w:cs="宋体"/>
          <w:color w:val="000000"/>
          <w:kern w:val="0"/>
          <w:sz w:val="32"/>
          <w:szCs w:val="32"/>
        </w:rPr>
        <w:t>2020年，我单位高度重视人大代表建议和政协委员提案办理，把该项工作作为提升财政管理水平、推动重点工作落实的重要支撑，不断完善机制、落实责任，取得良好成效。全年共承办人大代表建议0件；政协委员提案1件，其中主办1件、协办0件，面复率、满意率均达到100%。主办1件政协委员提案已全部公开相关摘要。</w:t>
      </w:r>
    </w:p>
    <w:p>
      <w:pPr>
        <w:pStyle w:val="11"/>
        <w:widowControl/>
        <w:shd w:val="clear" w:color="auto" w:fill="FFFFFF"/>
        <w:spacing w:line="600" w:lineRule="exact"/>
        <w:ind w:left="420" w:firstLine="0" w:firstLineChars="0"/>
        <w:rPr>
          <w:rFonts w:ascii="楷体_GB2312" w:hAnsi="宋体" w:eastAsia="楷体_GB2312" w:cs="宋体"/>
          <w:color w:val="000000"/>
          <w:kern w:val="0"/>
          <w:sz w:val="32"/>
          <w:szCs w:val="32"/>
        </w:rPr>
      </w:pPr>
    </w:p>
    <w:p>
      <w:pPr>
        <w:widowControl/>
        <w:shd w:val="clear" w:color="auto" w:fill="FFFFFF"/>
        <w:spacing w:line="600" w:lineRule="exact"/>
        <w:ind w:firstLine="640" w:firstLineChars="200"/>
        <w:rPr>
          <w:rFonts w:ascii="仿宋_GB2312" w:eastAsia="仿宋_GB2312"/>
          <w:color w:val="000000"/>
          <w:sz w:val="32"/>
          <w:szCs w:val="32"/>
          <w:shd w:val="clear" w:color="auto" w:fill="FFFFFF"/>
        </w:rPr>
      </w:pPr>
    </w:p>
    <w:p>
      <w:pPr>
        <w:widowControl/>
        <w:shd w:val="clear" w:color="auto" w:fill="FFFFFF"/>
        <w:spacing w:line="600" w:lineRule="exact"/>
        <w:rPr>
          <w:rFonts w:ascii="仿宋_GB2312" w:hAnsi="宋体" w:eastAsia="仿宋_GB2312" w:cs="宋体"/>
          <w:color w:val="000000"/>
          <w:kern w:val="0"/>
          <w:sz w:val="32"/>
          <w:szCs w:val="32"/>
          <w:shd w:val="clear" w:color="auto" w:fill="FFFFFF"/>
        </w:rPr>
      </w:pPr>
    </w:p>
    <w:p>
      <w:pPr>
        <w:widowControl/>
        <w:shd w:val="clear" w:color="auto" w:fill="FFFFFF"/>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安丘市砂资源河道养护中心</w:t>
      </w:r>
      <w:r>
        <w:rPr>
          <w:rFonts w:ascii="仿宋_GB2312" w:hAnsi="宋体" w:eastAsia="仿宋_GB2312" w:cs="宋体"/>
          <w:color w:val="000000"/>
          <w:kern w:val="0"/>
          <w:sz w:val="32"/>
          <w:szCs w:val="32"/>
        </w:rPr>
        <w:t xml:space="preserve"> </w:t>
      </w:r>
    </w:p>
    <w:p>
      <w:pPr>
        <w:widowControl/>
        <w:shd w:val="clear" w:color="auto" w:fill="FFFFFF"/>
        <w:spacing w:line="60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2021年1月25日</w:t>
      </w:r>
    </w:p>
    <w:p>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921927"/>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76769"/>
    <w:multiLevelType w:val="singleLevel"/>
    <w:tmpl w:val="A1376769"/>
    <w:lvl w:ilvl="0" w:tentative="0">
      <w:start w:val="1"/>
      <w:numFmt w:val="decimal"/>
      <w:lvlText w:val="%1."/>
      <w:lvlJc w:val="left"/>
      <w:pPr>
        <w:tabs>
          <w:tab w:val="left" w:pos="312"/>
        </w:tabs>
      </w:pPr>
    </w:lvl>
  </w:abstractNum>
  <w:abstractNum w:abstractNumId="1">
    <w:nsid w:val="F9DA834F"/>
    <w:multiLevelType w:val="singleLevel"/>
    <w:tmpl w:val="F9DA834F"/>
    <w:lvl w:ilvl="0" w:tentative="0">
      <w:start w:val="6"/>
      <w:numFmt w:val="chineseCounting"/>
      <w:suff w:val="nothing"/>
      <w:lvlText w:val="%1、"/>
      <w:lvlJc w:val="left"/>
      <w:rPr>
        <w:rFonts w:hint="eastAsia"/>
      </w:rPr>
    </w:lvl>
  </w:abstractNum>
  <w:abstractNum w:abstractNumId="2">
    <w:nsid w:val="5BF99A21"/>
    <w:multiLevelType w:val="singleLevel"/>
    <w:tmpl w:val="5BF99A21"/>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A59F5"/>
    <w:rsid w:val="000856DC"/>
    <w:rsid w:val="00087340"/>
    <w:rsid w:val="000B4295"/>
    <w:rsid w:val="001C43F6"/>
    <w:rsid w:val="001F51A9"/>
    <w:rsid w:val="00212494"/>
    <w:rsid w:val="00384775"/>
    <w:rsid w:val="003E1CD0"/>
    <w:rsid w:val="00507411"/>
    <w:rsid w:val="005170BA"/>
    <w:rsid w:val="00686A6B"/>
    <w:rsid w:val="007038EC"/>
    <w:rsid w:val="007E23FC"/>
    <w:rsid w:val="00927C14"/>
    <w:rsid w:val="00AA59F5"/>
    <w:rsid w:val="00B31A5E"/>
    <w:rsid w:val="00B849C1"/>
    <w:rsid w:val="00BD16AA"/>
    <w:rsid w:val="00BE1943"/>
    <w:rsid w:val="00D172A2"/>
    <w:rsid w:val="00DD46A0"/>
    <w:rsid w:val="00E1121F"/>
    <w:rsid w:val="00ED0EDA"/>
    <w:rsid w:val="00FA5E12"/>
    <w:rsid w:val="071D08A9"/>
    <w:rsid w:val="14E22A5E"/>
    <w:rsid w:val="1616164E"/>
    <w:rsid w:val="1EC548ED"/>
    <w:rsid w:val="22D80CEB"/>
    <w:rsid w:val="2622787E"/>
    <w:rsid w:val="31E41A2E"/>
    <w:rsid w:val="39DD07AD"/>
    <w:rsid w:val="3CE0276E"/>
    <w:rsid w:val="43164CD1"/>
    <w:rsid w:val="51C07AF5"/>
    <w:rsid w:val="57CD7544"/>
    <w:rsid w:val="596B1863"/>
    <w:rsid w:val="615E0A93"/>
    <w:rsid w:val="654930F7"/>
    <w:rsid w:val="6A394ACD"/>
    <w:rsid w:val="6E1908D5"/>
    <w:rsid w:val="7BAF7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622</Words>
  <Characters>3551</Characters>
  <Lines>29</Lines>
  <Paragraphs>8</Paragraphs>
  <TotalTime>115</TotalTime>
  <ScaleCrop>false</ScaleCrop>
  <LinksUpToDate>false</LinksUpToDate>
  <CharactersWithSpaces>4165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2020-07-13T06:34:00Z</dcterms:created>
  <dc:creator>zhangzh</dc:creator>
  <cp:lastModifiedBy>辛芜</cp:lastModifiedBy>
  <dcterms:modified xsi:type="dcterms:W3CDTF">2022-01-13T08:31:10Z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A43457271D0446609526B72E0CE5F5B3</vt:lpwstr>
  </property>
</Properties>
</file>