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潍坊市生态环境局安丘分局</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2021年政府信息公开工作年度报告</w:t>
      </w:r>
    </w:p>
    <w:p>
      <w:pPr>
        <w:spacing w:line="560" w:lineRule="exact"/>
        <w:jc w:val="center"/>
        <w:rPr>
          <w:rFonts w:ascii="方正小标宋简体" w:eastAsia="方正小标宋简体"/>
          <w:sz w:val="44"/>
          <w:szCs w:val="44"/>
        </w:rPr>
      </w:pPr>
    </w:p>
    <w:p>
      <w:pPr>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t>本报告根据《中华人民共和国政府信息公开条例》（国务院令第711号，以下简称《条例》）《国务院办公厅政府信息与政务公开办公室关于印发中华人民共和国政府信息公开工作年度报告格式的通知</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sz w:val="32"/>
          <w:szCs w:val="32"/>
        </w:rPr>
        <w:t>国办公开办函〔2021〕30号</w:t>
      </w:r>
      <w:r>
        <w:rPr>
          <w:rFonts w:hint="eastAsia" w:ascii="仿宋_GB2312" w:hAnsi="仿宋_GB2312" w:eastAsia="仿宋_GB2312" w:cs="仿宋_GB2312"/>
          <w:color w:val="333333"/>
          <w:sz w:val="32"/>
          <w:szCs w:val="32"/>
          <w:shd w:val="clear" w:color="auto" w:fill="FFFFFF"/>
        </w:rPr>
        <w:t>）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spacing w:line="560" w:lineRule="exact"/>
        <w:ind w:firstLine="640" w:firstLineChars="20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一、总体情况</w:t>
      </w:r>
    </w:p>
    <w:p>
      <w:pPr>
        <w:spacing w:line="560" w:lineRule="exact"/>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2021年，我局</w:t>
      </w:r>
      <w:r>
        <w:rPr>
          <w:rFonts w:hint="eastAsia" w:ascii="仿宋_GB2312" w:hAnsi="仿宋_GB2312" w:eastAsia="仿宋_GB2312" w:cs="仿宋_GB2312"/>
          <w:color w:val="333333"/>
          <w:sz w:val="32"/>
          <w:szCs w:val="32"/>
          <w:shd w:val="clear" w:color="auto" w:fill="FFFFFF"/>
          <w:lang w:eastAsia="zh-CN"/>
        </w:rPr>
        <w:t>从</w:t>
      </w:r>
      <w:r>
        <w:rPr>
          <w:rFonts w:ascii="仿宋_GB2312" w:hAnsi="仿宋_GB2312" w:eastAsia="仿宋_GB2312" w:cs="仿宋_GB2312"/>
          <w:color w:val="333333"/>
          <w:sz w:val="32"/>
          <w:szCs w:val="32"/>
          <w:shd w:val="clear" w:color="auto" w:fill="FFFFFF"/>
        </w:rPr>
        <w:t>深化重点领域政府信息公开内容、加强主动公开工作、抓好依申请公开等方面着力，积极打造为民、务实、公开、透明生态环境，充分保障人民群众的合法权益。</w:t>
      </w:r>
    </w:p>
    <w:p>
      <w:pPr>
        <w:spacing w:line="560" w:lineRule="exact"/>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（一）主动公开</w:t>
      </w:r>
    </w:p>
    <w:p>
      <w:pPr>
        <w:keepNext w:val="0"/>
        <w:keepLines w:val="0"/>
        <w:widowControl/>
        <w:suppressLineNumbers w:val="0"/>
        <w:wordWrap w:val="0"/>
        <w:spacing w:before="0" w:beforeAutospacing="0" w:after="0" w:afterAutospacing="0" w:line="560" w:lineRule="atLeast"/>
        <w:ind w:left="0" w:right="0" w:firstLine="640"/>
        <w:jc w:val="left"/>
        <w:rPr>
          <w:rFonts w:hint="eastAsia" w:ascii="仿宋_GB2312" w:hAnsi="仿宋_GB2312" w:eastAsia="仿宋_GB2312" w:cs="仿宋_GB2312"/>
          <w:b/>
          <w:bCs/>
          <w:color w:val="333333"/>
          <w:sz w:val="32"/>
          <w:szCs w:val="32"/>
          <w:shd w:val="clear" w:color="auto" w:fill="FFFFFF"/>
          <w:lang w:val="en-US" w:eastAsia="zh-CN"/>
        </w:rPr>
      </w:pPr>
      <w:r>
        <w:rPr>
          <w:rFonts w:hint="eastAsia" w:ascii="仿宋_GB2312" w:hAnsi="仿宋_GB2312" w:eastAsia="仿宋_GB2312" w:cs="仿宋_GB2312"/>
          <w:b/>
          <w:bCs/>
          <w:color w:val="333333"/>
          <w:sz w:val="32"/>
          <w:szCs w:val="32"/>
          <w:shd w:val="clear" w:color="auto" w:fill="FFFFFF"/>
          <w:lang w:val="en-US" w:eastAsia="zh-CN"/>
        </w:rPr>
        <w:t>1.体制机制建设情况</w:t>
      </w:r>
    </w:p>
    <w:p>
      <w:pPr>
        <w:keepNext w:val="0"/>
        <w:keepLines w:val="0"/>
        <w:widowControl/>
        <w:suppressLineNumbers w:val="0"/>
        <w:wordWrap w:val="0"/>
        <w:spacing w:before="0" w:beforeAutospacing="0" w:after="0" w:afterAutospacing="0" w:line="560" w:lineRule="atLeast"/>
        <w:ind w:left="0" w:right="0"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制定了《潍坊市生态环境局安丘分局政务公开工作领导小组》，</w:t>
      </w:r>
      <w:r>
        <w:rPr>
          <w:rFonts w:hint="eastAsia" w:ascii="仿宋_GB2312" w:hAnsi="仿宋_GB2312" w:eastAsia="仿宋_GB2312" w:cs="仿宋_GB2312"/>
          <w:color w:val="333333"/>
          <w:sz w:val="32"/>
          <w:szCs w:val="32"/>
          <w:shd w:val="clear" w:color="auto" w:fill="FFFFFF"/>
        </w:rPr>
        <w:t>形成了一把手负总责，分管领导具体负责，其他班子成员按分工负责，层层抓落实的工作格局。</w:t>
      </w:r>
    </w:p>
    <w:p>
      <w:pPr>
        <w:keepNext w:val="0"/>
        <w:keepLines w:val="0"/>
        <w:widowControl/>
        <w:suppressLineNumbers w:val="0"/>
        <w:wordWrap w:val="0"/>
        <w:spacing w:before="0" w:beforeAutospacing="0" w:after="0" w:afterAutospacing="0" w:line="560" w:lineRule="atLeast"/>
        <w:ind w:left="0" w:right="0" w:firstLine="640"/>
        <w:jc w:val="left"/>
        <w:rPr>
          <w:rFonts w:hint="eastAsia" w:ascii="仿宋_GB2312" w:hAnsi="仿宋_GB2312" w:eastAsia="仿宋_GB2312" w:cs="仿宋_GB2312"/>
          <w:b/>
          <w:bCs/>
          <w:color w:val="333333"/>
          <w:sz w:val="32"/>
          <w:szCs w:val="32"/>
          <w:shd w:val="clear" w:color="auto" w:fill="FFFFFF"/>
          <w:lang w:val="en-US" w:eastAsia="zh-CN"/>
        </w:rPr>
      </w:pPr>
      <w:r>
        <w:rPr>
          <w:rFonts w:hint="eastAsia" w:ascii="仿宋_GB2312" w:hAnsi="仿宋_GB2312" w:eastAsia="仿宋_GB2312" w:cs="仿宋_GB2312"/>
          <w:b/>
          <w:bCs/>
          <w:color w:val="333333"/>
          <w:sz w:val="32"/>
          <w:szCs w:val="32"/>
          <w:shd w:val="clear" w:color="auto" w:fill="FFFFFF"/>
          <w:lang w:val="en-US" w:eastAsia="zh-CN"/>
        </w:rPr>
        <w:t>2.主动公开信息情况</w:t>
      </w:r>
    </w:p>
    <w:p>
      <w:pPr>
        <w:keepNext w:val="0"/>
        <w:keepLines w:val="0"/>
        <w:widowControl/>
        <w:suppressLineNumbers w:val="0"/>
        <w:wordWrap w:val="0"/>
        <w:spacing w:before="0" w:beforeAutospacing="0" w:after="0" w:afterAutospacing="0" w:line="560" w:lineRule="atLeast"/>
        <w:ind w:left="0" w:right="0" w:firstLine="640"/>
        <w:jc w:val="left"/>
        <w:rPr>
          <w:rFonts w:hint="eastAsia"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2021年，</w:t>
      </w:r>
      <w:r>
        <w:rPr>
          <w:rFonts w:ascii="仿宋_GB2312" w:eastAsia="仿宋_GB2312" w:cs="仿宋_GB2312" w:hAnsiTheme="minorHAnsi"/>
          <w:color w:val="333333"/>
          <w:kern w:val="0"/>
          <w:sz w:val="32"/>
          <w:szCs w:val="32"/>
          <w:shd w:val="clear" w:fill="FFFFFF"/>
          <w:lang w:val="en-US" w:eastAsia="zh-CN" w:bidi="ar"/>
        </w:rPr>
        <w:t>共发布</w:t>
      </w:r>
      <w:r>
        <w:rPr>
          <w:rFonts w:hint="eastAsia" w:ascii="仿宋_GB2312" w:eastAsia="仿宋_GB2312" w:cs="仿宋_GB2312" w:hAnsiTheme="minorHAnsi"/>
          <w:color w:val="333333"/>
          <w:kern w:val="0"/>
          <w:sz w:val="32"/>
          <w:szCs w:val="32"/>
          <w:shd w:val="clear" w:fill="FFFFFF"/>
          <w:lang w:val="en-US" w:eastAsia="zh-CN" w:bidi="ar"/>
        </w:rPr>
        <w:t>各类主动公开信息265条，</w:t>
      </w:r>
      <w:r>
        <w:rPr>
          <w:rFonts w:hint="eastAsia" w:ascii="仿宋_GB2312" w:eastAsia="仿宋_GB2312" w:cs="仿宋_GB2312"/>
          <w:color w:val="333333"/>
          <w:kern w:val="0"/>
          <w:sz w:val="32"/>
          <w:szCs w:val="32"/>
          <w:shd w:val="clear" w:fill="FFFFFF"/>
          <w:lang w:val="en-US" w:eastAsia="zh-CN" w:bidi="ar"/>
        </w:rPr>
        <w:t>与2020年相比增加公开信息71条。</w:t>
      </w:r>
      <w:r>
        <w:rPr>
          <w:rFonts w:hint="eastAsia" w:ascii="仿宋_GB2312" w:eastAsia="仿宋_GB2312" w:cs="仿宋_GB2312" w:hAnsiTheme="minorHAnsi"/>
          <w:color w:val="333333"/>
          <w:kern w:val="0"/>
          <w:sz w:val="32"/>
          <w:szCs w:val="32"/>
          <w:shd w:val="clear" w:fill="FFFFFF"/>
          <w:lang w:val="en-US" w:eastAsia="zh-CN" w:bidi="ar"/>
        </w:rPr>
        <w:t>其中，通过安丘市政府门户网站发布信息120条、“安丘环保”微信公众号发布信息145条</w:t>
      </w:r>
      <w:r>
        <w:rPr>
          <w:rFonts w:hint="eastAsia" w:ascii="仿宋_GB2312" w:eastAsia="仿宋_GB2312" w:cs="仿宋_GB2312"/>
          <w:color w:val="333333"/>
          <w:kern w:val="0"/>
          <w:sz w:val="32"/>
          <w:szCs w:val="32"/>
          <w:shd w:val="clear" w:fill="FFFFFF"/>
          <w:lang w:val="en-US" w:eastAsia="zh-CN" w:bidi="ar"/>
        </w:rPr>
        <w:t>。严格按照</w:t>
      </w:r>
      <w:r>
        <w:rPr>
          <w:rFonts w:hint="eastAsia" w:ascii="仿宋_GB2312" w:eastAsia="仿宋_GB2312" w:cs="仿宋_GB2312" w:hAnsiTheme="minorHAnsi"/>
          <w:color w:val="333333"/>
          <w:kern w:val="0"/>
          <w:sz w:val="32"/>
          <w:szCs w:val="32"/>
          <w:shd w:val="clear" w:fill="FFFFFF"/>
          <w:lang w:val="en-US" w:eastAsia="zh-CN" w:bidi="ar"/>
        </w:rPr>
        <w:t>中华人民共和国政府信息公开条例（新修订）</w:t>
      </w:r>
      <w:r>
        <w:rPr>
          <w:rFonts w:hint="eastAsia" w:ascii="仿宋_GB2312" w:eastAsia="仿宋_GB2312" w:cs="仿宋_GB2312"/>
          <w:color w:val="333333"/>
          <w:kern w:val="0"/>
          <w:sz w:val="32"/>
          <w:szCs w:val="32"/>
          <w:shd w:val="clear" w:fill="FFFFFF"/>
          <w:lang w:val="en-US" w:eastAsia="zh-CN" w:bidi="ar"/>
        </w:rPr>
        <w:t>第二十条、二十一条主动公开相关情况，</w:t>
      </w:r>
      <w:r>
        <w:rPr>
          <w:rFonts w:hint="eastAsia" w:ascii="仿宋_GB2312" w:hAnsi="仿宋_GB2312" w:eastAsia="仿宋_GB2312" w:cs="仿宋_GB2312"/>
          <w:color w:val="333333"/>
          <w:sz w:val="32"/>
          <w:szCs w:val="32"/>
          <w:shd w:val="clear" w:color="auto" w:fill="FFFFFF"/>
          <w:lang w:eastAsia="zh-CN"/>
        </w:rPr>
        <w:t>主动公开了机关职能、机构设置、办公地址、办公时间、联系方式、负责人姓名；办理行政许可和其他对外管理服务事项的依据、条件、程序以及办理结果；实施行政处罚、行政强制的依据、条件、程序以及本行政机关认为具有一定社会影响的行政处罚决定；财政预算、决算信息重大建设项目的批准和实施情况；环境保护监督检查情况；法律、法规、规章和国家有关规定规定应当主动公开的其他政府信息</w:t>
      </w:r>
      <w:r>
        <w:rPr>
          <w:rFonts w:hint="eastAsia" w:ascii="仿宋_GB2312" w:hAnsi="仿宋_GB2312" w:eastAsia="仿宋_GB2312" w:cs="仿宋_GB2312"/>
          <w:color w:val="333333"/>
          <w:sz w:val="32"/>
          <w:szCs w:val="32"/>
          <w:shd w:val="clear" w:color="auto" w:fill="FFFFFF"/>
        </w:rPr>
        <w:t>。</w:t>
      </w:r>
    </w:p>
    <w:p>
      <w:pPr>
        <w:keepNext w:val="0"/>
        <w:keepLines w:val="0"/>
        <w:widowControl/>
        <w:suppressLineNumbers w:val="0"/>
        <w:wordWrap w:val="0"/>
        <w:spacing w:before="0" w:beforeAutospacing="0" w:after="0" w:afterAutospacing="0" w:line="560" w:lineRule="atLeast"/>
        <w:ind w:left="0" w:right="0" w:firstLine="640"/>
        <w:jc w:val="left"/>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b/>
          <w:bCs/>
          <w:color w:val="333333"/>
          <w:sz w:val="32"/>
          <w:szCs w:val="32"/>
          <w:shd w:val="clear" w:color="auto" w:fill="FFFFFF"/>
          <w:lang w:val="en-US" w:eastAsia="zh-CN"/>
        </w:rPr>
        <w:t>3.解读回应关切</w:t>
      </w:r>
    </w:p>
    <w:p>
      <w:pPr>
        <w:keepNext w:val="0"/>
        <w:keepLines w:val="0"/>
        <w:widowControl/>
        <w:suppressLineNumbers w:val="0"/>
        <w:wordWrap w:val="0"/>
        <w:spacing w:before="0" w:beforeAutospacing="0" w:after="0" w:afterAutospacing="0" w:line="560" w:lineRule="atLeast"/>
        <w:ind w:left="0" w:right="0" w:firstLine="640"/>
        <w:jc w:val="left"/>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坚持政策公开化、透明化、便民化，及时对社会关注度比较高、涉及到群众切身利益的政策和方案进行详细解读，2021年共采用数字图文解读材料1件。</w:t>
      </w:r>
    </w:p>
    <w:p>
      <w:pPr>
        <w:keepNext w:val="0"/>
        <w:keepLines w:val="0"/>
        <w:widowControl/>
        <w:suppressLineNumbers w:val="0"/>
        <w:wordWrap w:val="0"/>
        <w:spacing w:before="0" w:beforeAutospacing="0" w:after="0" w:afterAutospacing="0" w:line="560" w:lineRule="atLeast"/>
        <w:ind w:left="0" w:leftChars="0" w:right="0" w:rightChars="0" w:firstLine="0" w:firstLineChars="0"/>
        <w:jc w:val="center"/>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drawing>
          <wp:inline distT="0" distB="0" distL="114300" distR="114300">
            <wp:extent cx="5612130" cy="2752725"/>
            <wp:effectExtent l="0" t="0" r="7620" b="9525"/>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4"/>
                    <a:stretch>
                      <a:fillRect/>
                    </a:stretch>
                  </pic:blipFill>
                  <pic:spPr>
                    <a:xfrm>
                      <a:off x="0" y="0"/>
                      <a:ext cx="5612130" cy="2752725"/>
                    </a:xfrm>
                    <a:prstGeom prst="rect">
                      <a:avLst/>
                    </a:prstGeom>
                  </pic:spPr>
                </pic:pic>
              </a:graphicData>
            </a:graphic>
          </wp:inline>
        </w:drawing>
      </w:r>
    </w:p>
    <w:p>
      <w:pPr>
        <w:spacing w:line="240" w:lineRule="auto"/>
        <w:ind w:left="0" w:leftChars="0" w:right="0" w:rightChars="0" w:firstLine="0" w:firstLineChars="0"/>
        <w:jc w:val="center"/>
        <w:rPr>
          <w:rFonts w:hint="eastAsia" w:ascii="楷体_GB2312" w:hAnsi="楷体_GB2312" w:eastAsia="楷体_GB2312" w:cs="楷体_GB2312"/>
          <w:color w:val="333333"/>
          <w:sz w:val="32"/>
          <w:szCs w:val="32"/>
          <w:shd w:val="clear" w:color="auto" w:fill="FFFFFF"/>
          <w:lang w:eastAsia="zh-CN"/>
        </w:rPr>
      </w:pPr>
      <w:r>
        <w:rPr>
          <w:rFonts w:hint="eastAsia" w:ascii="楷体_GB2312" w:hAnsi="楷体_GB2312" w:eastAsia="楷体_GB2312" w:cs="楷体_GB2312"/>
          <w:color w:val="333333"/>
          <w:sz w:val="32"/>
          <w:szCs w:val="32"/>
          <w:shd w:val="clear" w:color="auto" w:fill="FFFFFF"/>
          <w:lang w:eastAsia="zh-CN"/>
        </w:rPr>
        <w:drawing>
          <wp:inline distT="0" distB="0" distL="114300" distR="114300">
            <wp:extent cx="5610860" cy="2781300"/>
            <wp:effectExtent l="0" t="0" r="8890" b="0"/>
            <wp:docPr id="2" name="图片 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
                    <pic:cNvPicPr>
                      <a:picLocks noChangeAspect="1"/>
                    </pic:cNvPicPr>
                  </pic:nvPicPr>
                  <pic:blipFill>
                    <a:blip r:embed="rId5"/>
                    <a:stretch>
                      <a:fillRect/>
                    </a:stretch>
                  </pic:blipFill>
                  <pic:spPr>
                    <a:xfrm>
                      <a:off x="0" y="0"/>
                      <a:ext cx="5610860" cy="2781300"/>
                    </a:xfrm>
                    <a:prstGeom prst="rect">
                      <a:avLst/>
                    </a:prstGeom>
                  </pic:spPr>
                </pic:pic>
              </a:graphicData>
            </a:graphic>
          </wp:inline>
        </w:drawing>
      </w:r>
    </w:p>
    <w:p>
      <w:pPr>
        <w:spacing w:line="560" w:lineRule="exact"/>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（二）依申请公开方面</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2021年，新收到政府信息公开申请</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与去年相比增加</w:t>
      </w:r>
      <w:r>
        <w:rPr>
          <w:rFonts w:hint="eastAsia" w:ascii="仿宋_GB2312" w:hAnsi="仿宋_GB2312" w:eastAsia="仿宋_GB2312" w:cs="仿宋_GB2312"/>
          <w:sz w:val="32"/>
          <w:szCs w:val="32"/>
          <w:lang w:val="en-US" w:eastAsia="zh-CN"/>
        </w:rPr>
        <w:t>8件，</w:t>
      </w:r>
      <w:r>
        <w:rPr>
          <w:rFonts w:hint="eastAsia" w:ascii="仿宋_GB2312" w:hAnsi="仿宋_GB2312" w:eastAsia="仿宋_GB2312" w:cs="仿宋_GB2312"/>
          <w:sz w:val="32"/>
          <w:szCs w:val="32"/>
        </w:rPr>
        <w:t>主要集中在环境影响评价、环境污染等领域，</w:t>
      </w:r>
      <w:r>
        <w:rPr>
          <w:rFonts w:hint="eastAsia" w:ascii="仿宋_GB2312" w:hAnsi="仿宋_GB2312" w:eastAsia="仿宋_GB2312" w:cs="仿宋_GB2312"/>
          <w:sz w:val="32"/>
          <w:szCs w:val="32"/>
          <w:lang w:eastAsia="zh-CN"/>
        </w:rPr>
        <w:t>均已按时答复。</w:t>
      </w:r>
      <w:r>
        <w:rPr>
          <w:rFonts w:hint="eastAsia" w:ascii="仿宋_GB2312" w:hAnsi="仿宋_GB2312" w:eastAsia="仿宋_GB2312" w:cs="仿宋_GB2312"/>
          <w:sz w:val="32"/>
          <w:szCs w:val="32"/>
        </w:rPr>
        <w:t>2021年，因政府信息公开被申请行政复议</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件，提起行政诉讼0件</w:t>
      </w:r>
      <w:r>
        <w:rPr>
          <w:rFonts w:hint="eastAsia" w:ascii="仿宋_GB2312" w:hAnsi="仿宋_GB2312" w:eastAsia="仿宋_GB2312" w:cs="仿宋_GB2312"/>
          <w:sz w:val="32"/>
          <w:szCs w:val="32"/>
          <w:lang w:eastAsia="zh-CN"/>
        </w:rPr>
        <w:t>，与去年相比无变化，无收费情况。</w:t>
      </w:r>
    </w:p>
    <w:p>
      <w:pPr>
        <w:spacing w:line="240" w:lineRule="auto"/>
        <w:ind w:left="0" w:leftChars="0" w:right="0" w:rightChars="0"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095875" cy="3172460"/>
            <wp:effectExtent l="0" t="0" r="9525" b="8890"/>
            <wp:docPr id="3" name="图片 3" descr="对比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对比图"/>
                    <pic:cNvPicPr>
                      <a:picLocks noChangeAspect="1"/>
                    </pic:cNvPicPr>
                  </pic:nvPicPr>
                  <pic:blipFill>
                    <a:blip r:embed="rId6"/>
                    <a:stretch>
                      <a:fillRect/>
                    </a:stretch>
                  </pic:blipFill>
                  <pic:spPr>
                    <a:xfrm>
                      <a:off x="0" y="0"/>
                      <a:ext cx="5095875" cy="3172460"/>
                    </a:xfrm>
                    <a:prstGeom prst="rect">
                      <a:avLst/>
                    </a:prstGeom>
                  </pic:spPr>
                </pic:pic>
              </a:graphicData>
            </a:graphic>
          </wp:inline>
        </w:drawing>
      </w:r>
    </w:p>
    <w:p>
      <w:pPr>
        <w:spacing w:line="560" w:lineRule="exact"/>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（三）政府信息管理方面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制定《潍坊市生态环境局安丘分局信息公开管理制度》，对信息管理实施动态调整，</w:t>
      </w:r>
      <w:r>
        <w:rPr>
          <w:rFonts w:hint="eastAsia" w:ascii="仿宋_GB2312" w:hAnsi="仿宋_GB2312" w:eastAsia="仿宋_GB2312" w:cs="仿宋_GB2312"/>
          <w:sz w:val="32"/>
          <w:szCs w:val="32"/>
        </w:rPr>
        <w:t>将政府信息公开工作情况与机关绩效考核相结合，按照职能分工，强化具体责任，推进工作落实，提高工作效率。认真落实政府信息公开长效运维管理机制，对政府信息及时进行动态更新。</w:t>
      </w:r>
    </w:p>
    <w:p>
      <w:pPr>
        <w:spacing w:line="560" w:lineRule="exact"/>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（四）政府信息公开平台建设方面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积极</w:t>
      </w:r>
      <w:r>
        <w:rPr>
          <w:rFonts w:ascii="仿宋_GB2312" w:hAnsi="仿宋_GB2312" w:eastAsia="仿宋_GB2312" w:cs="仿宋_GB2312"/>
          <w:sz w:val="32"/>
          <w:szCs w:val="32"/>
        </w:rPr>
        <w:t>发挥</w:t>
      </w:r>
      <w:r>
        <w:rPr>
          <w:rFonts w:hint="eastAsia" w:ascii="仿宋_GB2312" w:hAnsi="仿宋_GB2312" w:eastAsia="仿宋_GB2312" w:cs="仿宋_GB2312"/>
          <w:sz w:val="32"/>
          <w:szCs w:val="32"/>
        </w:rPr>
        <w:t>安丘</w:t>
      </w:r>
      <w:r>
        <w:rPr>
          <w:rFonts w:ascii="仿宋_GB2312" w:hAnsi="仿宋_GB2312" w:eastAsia="仿宋_GB2312" w:cs="仿宋_GB2312"/>
          <w:sz w:val="32"/>
          <w:szCs w:val="32"/>
        </w:rPr>
        <w:t>门户网站信息公开第一平台作用，及时发布生态环境政务信息，主动向社会公布环保政策和数据；积极做好政策解读和回应工作，提升环保信息公开的影响力。全面推进污染防治、水和空气质量情况、建设项目环境影响评价、突发环境事件、环</w:t>
      </w:r>
      <w:r>
        <w:rPr>
          <w:rFonts w:hint="eastAsia" w:ascii="仿宋_GB2312" w:hAnsi="仿宋_GB2312" w:eastAsia="仿宋_GB2312" w:cs="仿宋_GB2312"/>
          <w:sz w:val="32"/>
          <w:szCs w:val="32"/>
        </w:rPr>
        <w:t>境执法检查，重点污染企业信息、主要河流水质情况、污染源环境监管信息，发挥新媒体平台特点和传播优势，创新发布方式，“安丘环保”微信公众号运营以来，</w:t>
      </w:r>
      <w:r>
        <w:rPr>
          <w:rFonts w:ascii="仿宋_GB2312" w:hAnsi="仿宋_GB2312" w:eastAsia="仿宋_GB2312" w:cs="仿宋_GB2312"/>
          <w:sz w:val="32"/>
          <w:szCs w:val="32"/>
        </w:rPr>
        <w:t>发布环保信息490条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营造了良好的舆论氛围。</w:t>
      </w:r>
    </w:p>
    <w:p>
      <w:pPr>
        <w:spacing w:line="560" w:lineRule="exact"/>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（五）监督保障方面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不断完善信息公开</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考核机制，对于公开的信息，实行三级审核制，办公室进行最终审查把关。</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按照职能分工，强化具体责任，推进工作落实，提高工作效率。</w:t>
      </w:r>
      <w:r>
        <w:rPr>
          <w:rFonts w:hint="eastAsia" w:ascii="仿宋_GB2312" w:hAnsi="仿宋_GB2312" w:eastAsia="仿宋_GB2312" w:cs="仿宋_GB2312"/>
          <w:sz w:val="32"/>
          <w:szCs w:val="32"/>
          <w:lang w:eastAsia="zh-CN"/>
        </w:rPr>
        <w:t>现配备专职信息公开工作人员</w:t>
      </w:r>
      <w:r>
        <w:rPr>
          <w:rFonts w:hint="eastAsia" w:ascii="仿宋_GB2312" w:hAnsi="仿宋_GB2312" w:eastAsia="仿宋_GB2312" w:cs="仿宋_GB2312"/>
          <w:sz w:val="32"/>
          <w:szCs w:val="32"/>
          <w:lang w:val="en-US" w:eastAsia="zh-CN"/>
        </w:rPr>
        <w:t>1名，兼职工作人员1名。</w:t>
      </w:r>
    </w:p>
    <w:p>
      <w:pPr>
        <w:spacing w:line="56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三是不断加强政务公开培训工作，2021年共开展专题培训2次，持续提高各科室工作人员的信息公开意识和水平。</w:t>
      </w:r>
    </w:p>
    <w:p>
      <w:pPr>
        <w:spacing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二、主动公开政府信息情况</w:t>
      </w:r>
    </w:p>
    <w:tbl>
      <w:tblPr>
        <w:tblStyle w:val="9"/>
        <w:tblW w:w="9040" w:type="dxa"/>
        <w:jc w:val="center"/>
        <w:tblLayout w:type="autofit"/>
        <w:tblCellMar>
          <w:top w:w="0" w:type="dxa"/>
          <w:left w:w="0" w:type="dxa"/>
          <w:bottom w:w="0" w:type="dxa"/>
          <w:right w:w="0" w:type="dxa"/>
        </w:tblCellMar>
      </w:tblPr>
      <w:tblGrid>
        <w:gridCol w:w="2260"/>
        <w:gridCol w:w="2260"/>
        <w:gridCol w:w="2260"/>
        <w:gridCol w:w="2260"/>
      </w:tblGrid>
      <w:tr>
        <w:tblPrEx>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60" w:lineRule="exact"/>
              <w:jc w:val="center"/>
            </w:pPr>
            <w:r>
              <w:rPr>
                <w:rFonts w:hint="eastAsia" w:ascii="宋体" w:hAnsi="宋体" w:eastAsia="宋体" w:cs="宋体"/>
                <w:color w:val="000000"/>
                <w:kern w:val="0"/>
                <w:sz w:val="20"/>
                <w:szCs w:val="20"/>
                <w:lang w:bidi="ar"/>
              </w:rPr>
              <w:t>第二十条第（一）项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eastAsia="宋体" w:cs="宋体"/>
                <w:color w:val="000000"/>
                <w:kern w:val="0"/>
                <w:sz w:val="20"/>
                <w:szCs w:val="20"/>
                <w:lang w:bidi="ar"/>
              </w:rPr>
              <w:t>信息内容</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eastAsia="宋体" w:cs="宋体"/>
                <w:color w:val="000000"/>
                <w:kern w:val="0"/>
                <w:sz w:val="20"/>
                <w:szCs w:val="20"/>
                <w:lang w:bidi="ar"/>
              </w:rPr>
              <w:t>本年</w:t>
            </w:r>
            <w:r>
              <w:rPr>
                <w:rFonts w:hint="eastAsia" w:ascii="宋体" w:hAnsi="宋体" w:eastAsia="宋体" w:cs="宋体"/>
                <w:kern w:val="0"/>
                <w:sz w:val="20"/>
                <w:szCs w:val="20"/>
                <w:lang w:bidi="ar"/>
              </w:rPr>
              <w:t>制发件数</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eastAsia="宋体" w:cs="宋体"/>
                <w:color w:val="000000"/>
                <w:kern w:val="0"/>
                <w:sz w:val="20"/>
                <w:szCs w:val="20"/>
                <w:lang w:bidi="ar"/>
              </w:rPr>
              <w:t>本年废止件数</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eastAsia="宋体" w:cs="宋体"/>
                <w:color w:val="000000"/>
                <w:kern w:val="0"/>
                <w:sz w:val="20"/>
                <w:szCs w:val="20"/>
                <w:lang w:bidi="ar"/>
              </w:rPr>
              <w:t>现行有效件</w:t>
            </w:r>
            <w:r>
              <w:rPr>
                <w:rFonts w:hint="eastAsia" w:ascii="宋体" w:hAnsi="宋体" w:eastAsia="宋体" w:cs="宋体"/>
                <w:kern w:val="0"/>
                <w:sz w:val="20"/>
                <w:szCs w:val="20"/>
                <w:lang w:bidi="ar"/>
              </w:rPr>
              <w:t>数</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pPr>
            <w:r>
              <w:rPr>
                <w:rFonts w:hint="eastAsia" w:ascii="宋体" w:hAnsi="宋体" w:eastAsia="宋体" w:cs="宋体"/>
                <w:color w:val="000000"/>
                <w:kern w:val="0"/>
                <w:sz w:val="20"/>
                <w:szCs w:val="20"/>
                <w:lang w:bidi="ar"/>
              </w:rPr>
              <w:t>规章</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eastAsia="宋体" w:cs="Calibri"/>
                <w:kern w:val="0"/>
                <w:szCs w:val="21"/>
                <w:lang w:bidi="ar"/>
              </w:rPr>
              <w:t>0</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pPr>
            <w:r>
              <w:rPr>
                <w:rFonts w:hint="eastAsia" w:ascii="宋体" w:hAnsi="宋体" w:eastAsia="宋体" w:cs="宋体"/>
                <w:color w:val="000000"/>
                <w:kern w:val="0"/>
                <w:sz w:val="20"/>
                <w:szCs w:val="20"/>
                <w:lang w:bidi="ar"/>
              </w:rPr>
              <w:t>行政规范性文件</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eastAsia="宋体" w:cs="Calibri"/>
                <w:kern w:val="0"/>
                <w:szCs w:val="21"/>
                <w:lang w:bidi="ar"/>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60" w:lineRule="exact"/>
              <w:jc w:val="center"/>
            </w:pPr>
            <w:r>
              <w:rPr>
                <w:rFonts w:hint="eastAsia" w:ascii="宋体" w:hAnsi="宋体" w:eastAsia="宋体" w:cs="宋体"/>
                <w:color w:val="000000"/>
                <w:kern w:val="0"/>
                <w:sz w:val="20"/>
                <w:szCs w:val="20"/>
                <w:lang w:bidi="ar"/>
              </w:rPr>
              <w:t>第二十条第（五）项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eastAsia="宋体" w:cs="宋体"/>
                <w:color w:val="000000"/>
                <w:kern w:val="0"/>
                <w:sz w:val="20"/>
                <w:szCs w:val="20"/>
                <w:lang w:bidi="ar"/>
              </w:rPr>
              <w:t>信息内容</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eastAsia="宋体" w:cs="宋体"/>
                <w:color w:val="000000"/>
                <w:kern w:val="0"/>
                <w:sz w:val="20"/>
                <w:szCs w:val="20"/>
                <w:lang w:bidi="ar"/>
              </w:rPr>
              <w:t>本年处理决定数量</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pPr>
            <w:r>
              <w:rPr>
                <w:rFonts w:hint="eastAsia" w:ascii="宋体" w:hAnsi="宋体" w:eastAsia="宋体" w:cs="宋体"/>
                <w:color w:val="000000"/>
                <w:kern w:val="0"/>
                <w:sz w:val="20"/>
                <w:szCs w:val="20"/>
                <w:lang w:bidi="ar"/>
              </w:rPr>
              <w:t>行政许可</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left"/>
            </w:pPr>
            <w:r>
              <w:rPr>
                <w:rFonts w:ascii="Calibri" w:hAnsi="Calibri" w:eastAsia="宋体" w:cs="Calibri"/>
                <w:kern w:val="0"/>
                <w:szCs w:val="21"/>
                <w:lang w:bidi="ar"/>
              </w:rPr>
              <w:t> 129</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60" w:lineRule="exact"/>
              <w:jc w:val="center"/>
            </w:pPr>
            <w:r>
              <w:rPr>
                <w:rFonts w:hint="eastAsia" w:ascii="宋体" w:hAnsi="宋体" w:eastAsia="宋体" w:cs="宋体"/>
                <w:color w:val="000000"/>
                <w:kern w:val="0"/>
                <w:sz w:val="20"/>
                <w:szCs w:val="20"/>
                <w:lang w:bidi="ar"/>
              </w:rPr>
              <w:t>第二十条第（六）项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eastAsia="宋体" w:cs="宋体"/>
                <w:color w:val="000000"/>
                <w:kern w:val="0"/>
                <w:sz w:val="20"/>
                <w:szCs w:val="20"/>
                <w:lang w:bidi="ar"/>
              </w:rPr>
              <w:t>信息内容</w:t>
            </w:r>
          </w:p>
        </w:tc>
        <w:tc>
          <w:tcPr>
            <w:tcW w:w="6780"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eastAsia="宋体" w:cs="宋体"/>
                <w:color w:val="000000"/>
                <w:kern w:val="0"/>
                <w:sz w:val="20"/>
                <w:szCs w:val="20"/>
                <w:lang w:bidi="ar"/>
              </w:rPr>
              <w:t>本年处理决定数量</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pPr>
            <w:r>
              <w:rPr>
                <w:rFonts w:hint="eastAsia" w:ascii="宋体" w:hAnsi="宋体" w:eastAsia="宋体" w:cs="宋体"/>
                <w:color w:val="000000"/>
                <w:kern w:val="0"/>
                <w:sz w:val="20"/>
                <w:szCs w:val="20"/>
                <w:lang w:bidi="ar"/>
              </w:rPr>
              <w:t>行政处罚</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left"/>
            </w:pPr>
            <w:r>
              <w:rPr>
                <w:rFonts w:hint="eastAsia" w:ascii="宋体" w:hAnsi="宋体" w:eastAsia="宋体" w:cs="宋体"/>
                <w:color w:val="000000"/>
                <w:kern w:val="0"/>
                <w:sz w:val="20"/>
                <w:szCs w:val="20"/>
                <w:lang w:bidi="ar"/>
              </w:rPr>
              <w:t>　1</w:t>
            </w:r>
            <w:r>
              <w:rPr>
                <w:rFonts w:ascii="宋体" w:hAnsi="宋体" w:eastAsia="宋体" w:cs="宋体"/>
                <w:color w:val="000000"/>
                <w:kern w:val="0"/>
                <w:sz w:val="20"/>
                <w:szCs w:val="20"/>
                <w:lang w:bidi="ar"/>
              </w:rPr>
              <w:t>63</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pPr>
            <w:r>
              <w:rPr>
                <w:rFonts w:hint="eastAsia" w:ascii="宋体" w:hAnsi="宋体" w:eastAsia="宋体" w:cs="宋体"/>
                <w:color w:val="000000"/>
                <w:kern w:val="0"/>
                <w:sz w:val="20"/>
                <w:szCs w:val="20"/>
                <w:lang w:bidi="ar"/>
              </w:rPr>
              <w:t>行政强制</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widowControl/>
              <w:spacing w:line="560" w:lineRule="exact"/>
              <w:jc w:val="left"/>
            </w:pPr>
            <w:r>
              <w:rPr>
                <w:rFonts w:hint="eastAsia" w:ascii="宋体" w:hAnsi="宋体" w:eastAsia="宋体" w:cs="宋体"/>
                <w:color w:val="000000"/>
                <w:kern w:val="0"/>
                <w:sz w:val="20"/>
                <w:szCs w:val="20"/>
                <w:lang w:bidi="ar"/>
              </w:rPr>
              <w:t>　9</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60" w:lineRule="exact"/>
              <w:jc w:val="center"/>
            </w:pPr>
            <w:r>
              <w:rPr>
                <w:rFonts w:hint="eastAsia" w:ascii="宋体" w:hAnsi="宋体" w:eastAsia="宋体" w:cs="宋体"/>
                <w:color w:val="000000"/>
                <w:kern w:val="0"/>
                <w:sz w:val="20"/>
                <w:szCs w:val="20"/>
                <w:lang w:bidi="ar"/>
              </w:rPr>
              <w:t>第二十条第（八）项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eastAsia="宋体" w:cs="宋体"/>
                <w:color w:val="000000"/>
                <w:kern w:val="0"/>
                <w:sz w:val="20"/>
                <w:szCs w:val="20"/>
                <w:lang w:bidi="ar"/>
              </w:rPr>
              <w:t>信息内容</w:t>
            </w:r>
          </w:p>
        </w:tc>
        <w:tc>
          <w:tcPr>
            <w:tcW w:w="6780" w:type="dxa"/>
            <w:gridSpan w:val="3"/>
            <w:tcBorders>
              <w:top w:val="nil"/>
              <w:left w:val="nil"/>
              <w:bottom w:val="single" w:color="auto" w:sz="8" w:space="0"/>
              <w:right w:val="single" w:color="000000" w:sz="8" w:space="0"/>
            </w:tcBorders>
            <w:tcMar>
              <w:left w:w="57" w:type="dxa"/>
              <w:right w:w="57" w:type="dxa"/>
            </w:tcMar>
            <w:vAlign w:val="center"/>
          </w:tcPr>
          <w:p>
            <w:pPr>
              <w:widowControl/>
              <w:spacing w:line="560" w:lineRule="exact"/>
              <w:jc w:val="center"/>
            </w:pPr>
            <w:r>
              <w:rPr>
                <w:rFonts w:hint="eastAsia" w:ascii="宋体" w:hAnsi="宋体" w:eastAsia="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pPr>
            <w:r>
              <w:rPr>
                <w:rFonts w:hint="eastAsia" w:ascii="宋体" w:hAnsi="宋体" w:eastAsia="宋体" w:cs="宋体"/>
                <w:color w:val="000000"/>
                <w:kern w:val="0"/>
                <w:sz w:val="20"/>
                <w:szCs w:val="20"/>
                <w:lang w:bidi="ar"/>
              </w:rPr>
              <w:t>行政事业性收费</w:t>
            </w:r>
          </w:p>
        </w:tc>
        <w:tc>
          <w:tcPr>
            <w:tcW w:w="6780" w:type="dxa"/>
            <w:gridSpan w:val="3"/>
            <w:tcBorders>
              <w:top w:val="nil"/>
              <w:left w:val="nil"/>
              <w:bottom w:val="single" w:color="auto" w:sz="8" w:space="0"/>
              <w:right w:val="single" w:color="000000" w:sz="8" w:space="0"/>
            </w:tcBorders>
            <w:tcMar>
              <w:left w:w="57" w:type="dxa"/>
              <w:right w:w="57" w:type="dxa"/>
            </w:tcMar>
            <w:vAlign w:val="center"/>
          </w:tcPr>
          <w:p>
            <w:pPr>
              <w:spacing w:line="560" w:lineRule="exact"/>
              <w:rPr>
                <w:rFonts w:ascii="宋体"/>
                <w:sz w:val="24"/>
                <w:szCs w:val="24"/>
              </w:rPr>
            </w:pPr>
            <w:r>
              <w:rPr>
                <w:rFonts w:hint="eastAsia" w:ascii="宋体"/>
                <w:sz w:val="24"/>
                <w:szCs w:val="24"/>
              </w:rPr>
              <w:t>1</w:t>
            </w:r>
            <w:r>
              <w:rPr>
                <w:rFonts w:ascii="宋体"/>
                <w:sz w:val="24"/>
                <w:szCs w:val="24"/>
              </w:rPr>
              <w:t>659.3468</w:t>
            </w:r>
          </w:p>
        </w:tc>
      </w:tr>
    </w:tbl>
    <w:p>
      <w:pPr>
        <w:spacing w:line="560" w:lineRule="exact"/>
        <w:ind w:firstLine="640" w:firstLineChars="20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三、收到和处理政府信息公开申请情况</w:t>
      </w: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4"/>
        <w:gridCol w:w="3215"/>
        <w:gridCol w:w="687"/>
        <w:gridCol w:w="687"/>
        <w:gridCol w:w="687"/>
        <w:gridCol w:w="687"/>
        <w:gridCol w:w="687"/>
        <w:gridCol w:w="687"/>
        <w:gridCol w:w="69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spacing w:line="560" w:lineRule="exact"/>
              <w:jc w:val="left"/>
            </w:pPr>
            <w:r>
              <w:rPr>
                <w:rFonts w:ascii="楷体" w:hAnsi="楷体" w:eastAsia="楷体" w:cs="楷体"/>
                <w:kern w:val="0"/>
                <w:sz w:val="20"/>
                <w:szCs w:val="20"/>
                <w:lang w:bidi="ar"/>
              </w:rPr>
              <w:t>（本列数据的勾稽关系为：第一项加第二项之和，等于第三项加第四项之和）</w:t>
            </w:r>
          </w:p>
        </w:tc>
        <w:tc>
          <w:tcPr>
            <w:tcW w:w="4821"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eastAsia="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spacing w:line="560" w:lineRule="exact"/>
              <w:rPr>
                <w:rFonts w:ascii="宋体"/>
                <w:sz w:val="24"/>
                <w:szCs w:val="24"/>
              </w:rPr>
            </w:pPr>
          </w:p>
        </w:tc>
        <w:tc>
          <w:tcPr>
            <w:tcW w:w="687" w:type="dxa"/>
            <w:vMerge w:val="restart"/>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eastAsia="宋体" w:cs="宋体"/>
                <w:kern w:val="0"/>
                <w:sz w:val="20"/>
                <w:szCs w:val="20"/>
                <w:lang w:bidi="ar"/>
              </w:rPr>
              <w:t>自然人</w:t>
            </w:r>
          </w:p>
        </w:tc>
        <w:tc>
          <w:tcPr>
            <w:tcW w:w="3435" w:type="dxa"/>
            <w:gridSpan w:val="5"/>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eastAsia="宋体" w:cs="宋体"/>
                <w:kern w:val="0"/>
                <w:sz w:val="20"/>
                <w:szCs w:val="20"/>
                <w:lang w:bidi="ar"/>
              </w:rPr>
              <w:t>法人或其他组织</w:t>
            </w:r>
          </w:p>
        </w:tc>
        <w:tc>
          <w:tcPr>
            <w:tcW w:w="699"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eastAsia="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spacing w:line="560" w:lineRule="exact"/>
              <w:rPr>
                <w:rFonts w:ascii="宋体"/>
                <w:sz w:val="24"/>
                <w:szCs w:val="24"/>
              </w:rPr>
            </w:pPr>
          </w:p>
        </w:tc>
        <w:tc>
          <w:tcPr>
            <w:tcW w:w="687" w:type="dxa"/>
            <w:vMerge w:val="continue"/>
            <w:tcBorders>
              <w:top w:val="nil"/>
              <w:left w:val="nil"/>
              <w:bottom w:val="single"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eastAsia="宋体" w:cs="宋体"/>
                <w:kern w:val="0"/>
                <w:sz w:val="20"/>
                <w:szCs w:val="20"/>
                <w:lang w:bidi="ar"/>
              </w:rPr>
              <w:t>商业</w:t>
            </w:r>
          </w:p>
          <w:p>
            <w:pPr>
              <w:widowControl/>
              <w:spacing w:line="560" w:lineRule="exact"/>
              <w:jc w:val="center"/>
            </w:pPr>
            <w:r>
              <w:rPr>
                <w:rFonts w:hint="eastAsia" w:ascii="宋体" w:hAnsi="宋体" w:eastAsia="宋体" w:cs="宋体"/>
                <w:kern w:val="0"/>
                <w:sz w:val="20"/>
                <w:szCs w:val="20"/>
                <w:lang w:bidi="ar"/>
              </w:rPr>
              <w:t>企业</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eastAsia="宋体" w:cs="宋体"/>
                <w:kern w:val="0"/>
                <w:sz w:val="20"/>
                <w:szCs w:val="20"/>
                <w:lang w:bidi="ar"/>
              </w:rPr>
              <w:t>科研</w:t>
            </w:r>
          </w:p>
          <w:p>
            <w:pPr>
              <w:widowControl/>
              <w:spacing w:line="560" w:lineRule="exact"/>
              <w:jc w:val="center"/>
            </w:pPr>
            <w:r>
              <w:rPr>
                <w:rFonts w:hint="eastAsia" w:ascii="宋体" w:hAnsi="宋体" w:eastAsia="宋体" w:cs="宋体"/>
                <w:kern w:val="0"/>
                <w:sz w:val="20"/>
                <w:szCs w:val="20"/>
                <w:lang w:bidi="ar"/>
              </w:rPr>
              <w:t>机构</w:t>
            </w:r>
          </w:p>
        </w:tc>
        <w:tc>
          <w:tcPr>
            <w:tcW w:w="687"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eastAsia="宋体" w:cs="宋体"/>
                <w:kern w:val="0"/>
                <w:sz w:val="20"/>
                <w:szCs w:val="20"/>
                <w:lang w:bidi="ar"/>
              </w:rPr>
              <w:t>社会公益组织</w:t>
            </w:r>
          </w:p>
        </w:tc>
        <w:tc>
          <w:tcPr>
            <w:tcW w:w="687"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eastAsia="宋体" w:cs="宋体"/>
                <w:kern w:val="0"/>
                <w:sz w:val="20"/>
                <w:szCs w:val="20"/>
                <w:lang w:bidi="ar"/>
              </w:rPr>
              <w:t>法律服务机构</w:t>
            </w:r>
          </w:p>
        </w:tc>
        <w:tc>
          <w:tcPr>
            <w:tcW w:w="687" w:type="dxa"/>
            <w:tcBorders>
              <w:top w:val="single" w:color="auto" w:sz="8" w:space="0"/>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hint="eastAsia" w:ascii="宋体" w:hAnsi="宋体" w:eastAsia="宋体" w:cs="宋体"/>
                <w:kern w:val="0"/>
                <w:sz w:val="20"/>
                <w:szCs w:val="20"/>
                <w:lang w:bidi="ar"/>
              </w:rPr>
              <w:t>其他</w:t>
            </w:r>
          </w:p>
        </w:tc>
        <w:tc>
          <w:tcPr>
            <w:tcW w:w="699"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pPr>
            <w:r>
              <w:rPr>
                <w:rFonts w:hint="eastAsia" w:ascii="宋体" w:hAnsi="宋体" w:eastAsia="宋体" w:cs="宋体"/>
                <w:kern w:val="0"/>
                <w:sz w:val="20"/>
                <w:szCs w:val="20"/>
                <w:lang w:bidi="ar"/>
              </w:rPr>
              <w:t>一、本年新收政府信息公开申请数量</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8 </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 2</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 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pPr>
            <w:r>
              <w:rPr>
                <w:rFonts w:hint="eastAsia" w:ascii="宋体" w:hAnsi="宋体" w:eastAsia="宋体" w:cs="宋体"/>
                <w:kern w:val="0"/>
                <w:sz w:val="20"/>
                <w:szCs w:val="20"/>
                <w:lang w:bidi="ar"/>
              </w:rPr>
              <w:t>二、上年结转政府信息公开申请数量</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 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 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spacing w:line="560" w:lineRule="exact"/>
              <w:jc w:val="left"/>
            </w:pPr>
            <w:r>
              <w:rPr>
                <w:rFonts w:hint="eastAsia" w:ascii="宋体" w:hAnsi="宋体" w:eastAsia="宋体" w:cs="宋体"/>
                <w:kern w:val="0"/>
                <w:sz w:val="20"/>
                <w:szCs w:val="20"/>
                <w:lang w:bidi="ar"/>
              </w:rPr>
              <w:t>三、本年度办理结果</w:t>
            </w:r>
          </w:p>
        </w:tc>
        <w:tc>
          <w:tcPr>
            <w:tcW w:w="4159" w:type="dxa"/>
            <w:gridSpan w:val="2"/>
            <w:tcBorders>
              <w:top w:val="nil"/>
              <w:left w:val="nil"/>
              <w:bottom w:val="single" w:color="auto" w:sz="8" w:space="0"/>
              <w:right w:val="single" w:color="auto" w:sz="8" w:space="0"/>
            </w:tcBorders>
            <w:tcMar>
              <w:left w:w="57" w:type="dxa"/>
              <w:right w:w="57" w:type="dxa"/>
            </w:tcMar>
            <w:vAlign w:val="center"/>
          </w:tcPr>
          <w:p>
            <w:pPr>
              <w:widowControl/>
              <w:spacing w:line="560" w:lineRule="exact"/>
              <w:jc w:val="left"/>
            </w:pPr>
            <w:r>
              <w:rPr>
                <w:rFonts w:hint="eastAsia" w:ascii="宋体" w:hAnsi="宋体" w:eastAsia="宋体" w:cs="宋体"/>
                <w:kern w:val="0"/>
                <w:sz w:val="20"/>
                <w:szCs w:val="20"/>
                <w:lang w:bidi="ar"/>
              </w:rPr>
              <w:t>（一）予以公开</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 7</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2 </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 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 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0 </w:t>
            </w:r>
          </w:p>
        </w:tc>
        <w:tc>
          <w:tcPr>
            <w:tcW w:w="699" w:type="dxa"/>
            <w:tcBorders>
              <w:top w:val="single" w:color="auto" w:sz="8" w:space="0"/>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9 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4159" w:type="dxa"/>
            <w:gridSpan w:val="2"/>
            <w:tcBorders>
              <w:top w:val="nil"/>
              <w:left w:val="nil"/>
              <w:bottom w:val="single" w:color="auto" w:sz="8" w:space="0"/>
              <w:right w:val="single" w:color="auto" w:sz="8" w:space="0"/>
            </w:tcBorders>
            <w:tcMar>
              <w:left w:w="57" w:type="dxa"/>
              <w:right w:w="57" w:type="dxa"/>
            </w:tcMar>
            <w:vAlign w:val="center"/>
          </w:tcPr>
          <w:p>
            <w:pPr>
              <w:widowControl/>
              <w:spacing w:line="560" w:lineRule="exact"/>
              <w:jc w:val="left"/>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1</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 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 0</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ind w:firstLine="200" w:firstLineChars="100"/>
            </w:pPr>
            <w:r>
              <w:rPr>
                <w:rFonts w:ascii="Calibri" w:hAnsi="Calibri" w:eastAsia="宋体" w:cs="Calibri"/>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944"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560" w:lineRule="exact"/>
              <w:jc w:val="left"/>
            </w:pPr>
            <w:r>
              <w:rPr>
                <w:rFonts w:hint="eastAsia" w:ascii="宋体" w:hAnsi="宋体" w:eastAsia="宋体" w:cs="宋体"/>
                <w:kern w:val="0"/>
                <w:sz w:val="20"/>
                <w:szCs w:val="20"/>
                <w:lang w:bidi="ar"/>
              </w:rPr>
              <w:t>（三）不予公开</w:t>
            </w: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pPr>
            <w:r>
              <w:rPr>
                <w:rFonts w:hint="eastAsia" w:ascii="宋体" w:hAnsi="宋体" w:eastAsia="宋体" w:cs="宋体"/>
                <w:kern w:val="0"/>
                <w:sz w:val="20"/>
                <w:szCs w:val="20"/>
                <w:lang w:bidi="ar"/>
              </w:rPr>
              <w:t>1.属于国家秘密</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99" w:type="dxa"/>
            <w:tcBorders>
              <w:top w:val="single" w:color="auto" w:sz="8" w:space="0"/>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pPr>
            <w:r>
              <w:rPr>
                <w:rFonts w:hint="eastAsia" w:ascii="宋体" w:hAnsi="宋体" w:eastAsia="宋体" w:cs="宋体"/>
                <w:kern w:val="0"/>
                <w:sz w:val="20"/>
                <w:szCs w:val="20"/>
                <w:lang w:bidi="ar"/>
              </w:rPr>
              <w:t>2.其他法律行政法规禁止公开</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pPr>
            <w:r>
              <w:rPr>
                <w:rFonts w:hint="eastAsia" w:ascii="宋体" w:hAnsi="宋体" w:eastAsia="宋体" w:cs="宋体"/>
                <w:kern w:val="0"/>
                <w:sz w:val="20"/>
                <w:szCs w:val="20"/>
                <w:lang w:bidi="ar"/>
              </w:rPr>
              <w:t>3.危及“三安全一稳定”</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pPr>
            <w:r>
              <w:rPr>
                <w:rFonts w:hint="eastAsia" w:ascii="宋体" w:hAnsi="宋体" w:eastAsia="宋体" w:cs="宋体"/>
                <w:kern w:val="0"/>
                <w:sz w:val="20"/>
                <w:szCs w:val="20"/>
                <w:lang w:bidi="ar"/>
              </w:rPr>
              <w:t>4.保护第三方合法权益</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pPr>
            <w:r>
              <w:rPr>
                <w:rFonts w:hint="eastAsia" w:ascii="宋体" w:hAnsi="宋体" w:eastAsia="宋体" w:cs="宋体"/>
                <w:kern w:val="0"/>
                <w:sz w:val="20"/>
                <w:szCs w:val="20"/>
                <w:lang w:bidi="ar"/>
              </w:rPr>
              <w:t>5.属于三类内部事务信息</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pPr>
            <w:r>
              <w:rPr>
                <w:rFonts w:hint="eastAsia" w:ascii="宋体" w:hAnsi="宋体" w:eastAsia="宋体" w:cs="宋体"/>
                <w:kern w:val="0"/>
                <w:sz w:val="20"/>
                <w:szCs w:val="20"/>
                <w:lang w:bidi="ar"/>
              </w:rPr>
              <w:t>6.属于四类过程性信息</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pPr>
            <w:r>
              <w:rPr>
                <w:rFonts w:hint="eastAsia" w:ascii="宋体" w:hAnsi="宋体" w:eastAsia="宋体" w:cs="宋体"/>
                <w:kern w:val="0"/>
                <w:sz w:val="20"/>
                <w:szCs w:val="20"/>
                <w:lang w:bidi="ar"/>
              </w:rPr>
              <w:t>7.属于行政执法案卷</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pPr>
            <w:r>
              <w:rPr>
                <w:rFonts w:hint="eastAsia" w:ascii="宋体" w:hAnsi="宋体" w:eastAsia="宋体" w:cs="宋体"/>
                <w:kern w:val="0"/>
                <w:sz w:val="20"/>
                <w:szCs w:val="20"/>
                <w:lang w:bidi="ar"/>
              </w:rPr>
              <w:t>8.属于行政查询事项</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944"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560" w:lineRule="exact"/>
              <w:jc w:val="left"/>
            </w:pPr>
            <w:r>
              <w:rPr>
                <w:rFonts w:hint="eastAsia" w:ascii="宋体" w:hAnsi="宋体" w:eastAsia="宋体" w:cs="宋体"/>
                <w:kern w:val="0"/>
                <w:sz w:val="20"/>
                <w:szCs w:val="20"/>
                <w:lang w:bidi="ar"/>
              </w:rPr>
              <w:t>（四）无法提供</w:t>
            </w: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pPr>
            <w:r>
              <w:rPr>
                <w:rFonts w:hint="eastAsia" w:ascii="宋体" w:hAnsi="宋体" w:eastAsia="宋体" w:cs="宋体"/>
                <w:kern w:val="0"/>
                <w:sz w:val="20"/>
                <w:szCs w:val="20"/>
                <w:lang w:bidi="ar"/>
              </w:rPr>
              <w:t>1.本机关不掌握相关政府信息</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pPr>
            <w:r>
              <w:rPr>
                <w:rFonts w:hint="eastAsia" w:ascii="宋体" w:hAnsi="宋体" w:eastAsia="宋体" w:cs="宋体"/>
                <w:kern w:val="0"/>
                <w:sz w:val="20"/>
                <w:szCs w:val="20"/>
                <w:lang w:bidi="ar"/>
              </w:rPr>
              <w:t>2.没有现成信息需要另行制作</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pPr>
            <w:r>
              <w:rPr>
                <w:rFonts w:hint="eastAsia" w:ascii="宋体" w:hAnsi="宋体" w:eastAsia="宋体" w:cs="宋体"/>
                <w:kern w:val="0"/>
                <w:sz w:val="20"/>
                <w:szCs w:val="20"/>
                <w:lang w:bidi="ar"/>
              </w:rPr>
              <w:t>3.补正后申请内容仍不明确</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944" w:type="dxa"/>
            <w:vMerge w:val="restart"/>
            <w:tcBorders>
              <w:top w:val="nil"/>
              <w:left w:val="nil"/>
              <w:bottom w:val="outset" w:color="auto" w:sz="8" w:space="0"/>
              <w:right w:val="single" w:color="auto" w:sz="8" w:space="0"/>
            </w:tcBorders>
            <w:tcMar>
              <w:left w:w="57" w:type="dxa"/>
              <w:right w:w="57" w:type="dxa"/>
            </w:tcMar>
            <w:vAlign w:val="center"/>
          </w:tcPr>
          <w:p>
            <w:pPr>
              <w:widowControl/>
              <w:spacing w:line="560" w:lineRule="exact"/>
              <w:jc w:val="left"/>
            </w:pPr>
            <w:r>
              <w:rPr>
                <w:rFonts w:hint="eastAsia" w:ascii="宋体" w:hAnsi="宋体" w:eastAsia="宋体" w:cs="宋体"/>
                <w:kern w:val="0"/>
                <w:sz w:val="20"/>
                <w:szCs w:val="20"/>
                <w:lang w:bidi="ar"/>
              </w:rPr>
              <w:t>（五）不予处理</w:t>
            </w: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pPr>
            <w:r>
              <w:rPr>
                <w:rFonts w:hint="eastAsia" w:ascii="宋体" w:hAnsi="宋体" w:eastAsia="宋体" w:cs="宋体"/>
                <w:kern w:val="0"/>
                <w:sz w:val="20"/>
                <w:szCs w:val="20"/>
                <w:lang w:bidi="ar"/>
              </w:rPr>
              <w:t>1.信访举报投诉类申请</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pPr>
            <w:r>
              <w:rPr>
                <w:rFonts w:hint="eastAsia" w:ascii="宋体" w:hAnsi="宋体" w:eastAsia="宋体" w:cs="宋体"/>
                <w:kern w:val="0"/>
                <w:sz w:val="20"/>
                <w:szCs w:val="20"/>
                <w:lang w:bidi="ar"/>
              </w:rPr>
              <w:t>2.重复申请</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pPr>
            <w:r>
              <w:rPr>
                <w:rFonts w:hint="eastAsia" w:ascii="宋体" w:hAnsi="宋体" w:eastAsia="宋体" w:cs="宋体"/>
                <w:kern w:val="0"/>
                <w:sz w:val="20"/>
                <w:szCs w:val="20"/>
                <w:lang w:bidi="ar"/>
              </w:rPr>
              <w:t>3.要求提供公开出版物</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3215" w:type="dxa"/>
            <w:tcBorders>
              <w:top w:val="nil"/>
              <w:left w:val="nil"/>
              <w:bottom w:val="single" w:color="auto" w:sz="8" w:space="0"/>
              <w:right w:val="single" w:color="auto" w:sz="8" w:space="0"/>
            </w:tcBorders>
            <w:tcMar>
              <w:left w:w="57" w:type="dxa"/>
              <w:right w:w="57" w:type="dxa"/>
            </w:tcMar>
          </w:tcPr>
          <w:p>
            <w:pPr>
              <w:widowControl/>
              <w:spacing w:line="560" w:lineRule="exact"/>
              <w:jc w:val="left"/>
            </w:pPr>
            <w:r>
              <w:rPr>
                <w:rFonts w:hint="eastAsia" w:ascii="宋体" w:hAnsi="宋体" w:eastAsia="宋体" w:cs="宋体"/>
                <w:kern w:val="0"/>
                <w:sz w:val="20"/>
                <w:szCs w:val="20"/>
                <w:lang w:bidi="ar"/>
              </w:rPr>
              <w:t>4.无正当理由大量反复申请</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3215" w:type="dxa"/>
            <w:tcBorders>
              <w:top w:val="nil"/>
              <w:left w:val="nil"/>
              <w:bottom w:val="outset" w:color="auto" w:sz="8" w:space="0"/>
              <w:right w:val="single" w:color="auto" w:sz="8" w:space="0"/>
            </w:tcBorders>
            <w:tcMar>
              <w:left w:w="57" w:type="dxa"/>
              <w:right w:w="57" w:type="dxa"/>
            </w:tcMar>
            <w:vAlign w:val="center"/>
          </w:tcPr>
          <w:p>
            <w:pPr>
              <w:widowControl/>
              <w:spacing w:line="560" w:lineRule="exact"/>
            </w:pPr>
            <w:r>
              <w:rPr>
                <w:rFonts w:hint="eastAsia" w:ascii="宋体" w:hAnsi="宋体" w:eastAsia="宋体" w:cs="宋体"/>
                <w:kern w:val="0"/>
                <w:sz w:val="20"/>
                <w:szCs w:val="20"/>
                <w:lang w:bidi="ar"/>
              </w:rPr>
              <w:t>5.要求行政机关确认或重新出具已获取信息</w:t>
            </w:r>
          </w:p>
        </w:tc>
        <w:tc>
          <w:tcPr>
            <w:tcW w:w="687" w:type="dxa"/>
            <w:tcBorders>
              <w:top w:val="nil"/>
              <w:left w:val="nil"/>
              <w:bottom w:val="outset"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outset"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outset"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outset"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outset"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outset"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99" w:type="dxa"/>
            <w:tcBorders>
              <w:top w:val="nil"/>
              <w:left w:val="nil"/>
              <w:bottom w:val="outset"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944"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spacing w:line="560" w:lineRule="exact"/>
              <w:jc w:val="left"/>
            </w:pPr>
            <w:r>
              <w:rPr>
                <w:rFonts w:hint="eastAsia" w:ascii="宋体" w:hAnsi="宋体" w:eastAsia="宋体" w:cs="宋体"/>
                <w:kern w:val="0"/>
                <w:sz w:val="20"/>
                <w:szCs w:val="20"/>
                <w:lang w:bidi="ar"/>
              </w:rPr>
              <w:t>（六）其他处理</w:t>
            </w:r>
          </w:p>
        </w:tc>
        <w:tc>
          <w:tcPr>
            <w:tcW w:w="321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pPr>
            <w:r>
              <w:rPr>
                <w:rFonts w:hint="eastAsia" w:ascii="宋体" w:hAnsi="宋体" w:eastAsia="宋体" w:cs="宋体"/>
                <w:kern w:val="0"/>
                <w:sz w:val="20"/>
                <w:szCs w:val="20"/>
                <w:lang w:bidi="ar"/>
              </w:rPr>
              <w:t>1.申请人无正当理由逾期不补正、行政机关不再处理其政府信息公开申请</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944"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321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944"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3215"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left"/>
            </w:pPr>
            <w:r>
              <w:rPr>
                <w:rFonts w:hint="eastAsia" w:ascii="宋体" w:hAnsi="宋体" w:eastAsia="宋体" w:cs="宋体"/>
                <w:kern w:val="0"/>
                <w:sz w:val="20"/>
                <w:szCs w:val="20"/>
                <w:lang w:bidi="ar"/>
              </w:rPr>
              <w:t>3.其他</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spacing w:line="560" w:lineRule="exact"/>
              <w:rPr>
                <w:rFonts w:ascii="宋体"/>
                <w:sz w:val="24"/>
                <w:szCs w:val="24"/>
              </w:rPr>
            </w:pPr>
          </w:p>
        </w:tc>
        <w:tc>
          <w:tcPr>
            <w:tcW w:w="4159" w:type="dxa"/>
            <w:gridSpan w:val="2"/>
            <w:tcBorders>
              <w:top w:val="nil"/>
              <w:left w:val="nil"/>
              <w:bottom w:val="single" w:color="auto" w:sz="8" w:space="0"/>
              <w:right w:val="single" w:color="auto" w:sz="8" w:space="0"/>
            </w:tcBorders>
            <w:tcMar>
              <w:left w:w="57" w:type="dxa"/>
              <w:right w:w="57" w:type="dxa"/>
            </w:tcMar>
            <w:vAlign w:val="center"/>
          </w:tcPr>
          <w:p>
            <w:pPr>
              <w:widowControl/>
              <w:spacing w:line="560" w:lineRule="exact"/>
              <w:jc w:val="left"/>
            </w:pPr>
            <w:r>
              <w:rPr>
                <w:rFonts w:hint="eastAsia" w:ascii="宋体" w:hAnsi="宋体" w:eastAsia="宋体" w:cs="宋体"/>
                <w:kern w:val="0"/>
                <w:sz w:val="20"/>
                <w:szCs w:val="20"/>
                <w:lang w:bidi="ar"/>
              </w:rPr>
              <w:t>（七）总计</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 8</w:t>
            </w:r>
          </w:p>
        </w:tc>
        <w:tc>
          <w:tcPr>
            <w:tcW w:w="687" w:type="dxa"/>
            <w:tcBorders>
              <w:top w:val="nil"/>
              <w:left w:val="nil"/>
              <w:bottom w:val="single" w:color="auto" w:sz="8" w:space="0"/>
              <w:right w:val="single" w:color="auto" w:sz="8" w:space="0"/>
            </w:tcBorders>
            <w:tcMar>
              <w:left w:w="57" w:type="dxa"/>
              <w:right w:w="57" w:type="dxa"/>
            </w:tcMar>
            <w:vAlign w:val="center"/>
          </w:tcPr>
          <w:p>
            <w:pPr>
              <w:widowControl/>
              <w:spacing w:line="560" w:lineRule="exact"/>
              <w:jc w:val="center"/>
            </w:pPr>
            <w:r>
              <w:rPr>
                <w:rFonts w:ascii="Calibri" w:hAnsi="Calibri" w:eastAsia="宋体" w:cs="Calibri"/>
                <w:kern w:val="0"/>
                <w:sz w:val="20"/>
                <w:szCs w:val="20"/>
                <w:lang w:bidi="ar"/>
              </w:rPr>
              <w:t> 2</w:t>
            </w:r>
          </w:p>
        </w:tc>
        <w:tc>
          <w:tcPr>
            <w:tcW w:w="687" w:type="dxa"/>
            <w:tcBorders>
              <w:top w:val="nil"/>
              <w:left w:val="nil"/>
              <w:bottom w:val="single" w:color="auto" w:sz="8" w:space="0"/>
              <w:right w:val="single" w:color="auto" w:sz="8" w:space="0"/>
            </w:tcBorders>
            <w:tcMar>
              <w:left w:w="57" w:type="dxa"/>
              <w:right w:w="57" w:type="dxa"/>
            </w:tcMar>
          </w:tcPr>
          <w:p>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r>
              <w:rPr>
                <w:rFonts w:ascii="Calibri" w:hAnsi="Calibri" w:eastAsia="宋体" w:cs="Calibri"/>
                <w:kern w:val="0"/>
                <w:sz w:val="20"/>
                <w:szCs w:val="20"/>
                <w:lang w:bidi="ar"/>
              </w:rPr>
              <w:t>0 </w:t>
            </w:r>
          </w:p>
        </w:tc>
        <w:tc>
          <w:tcPr>
            <w:tcW w:w="699" w:type="dxa"/>
            <w:tcBorders>
              <w:top w:val="nil"/>
              <w:left w:val="nil"/>
              <w:bottom w:val="single" w:color="auto" w:sz="8" w:space="0"/>
              <w:right w:val="single" w:color="auto" w:sz="8" w:space="0"/>
            </w:tcBorders>
            <w:tcMar>
              <w:left w:w="57" w:type="dxa"/>
              <w:right w:w="57" w:type="dxa"/>
            </w:tcMar>
          </w:tcPr>
          <w:p>
            <w:pPr>
              <w:widowControl/>
              <w:spacing w:line="560" w:lineRule="exact"/>
              <w:jc w:val="center"/>
            </w:pPr>
            <w:r>
              <w:rPr>
                <w:rFonts w:ascii="Calibri" w:hAnsi="Calibri" w:eastAsia="宋体" w:cs="Calibri"/>
                <w:kern w:val="0"/>
                <w:sz w:val="20"/>
                <w:szCs w:val="20"/>
                <w:lang w:bidi="ar"/>
              </w:rPr>
              <w:t> 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spacing w:line="560" w:lineRule="exact"/>
              <w:jc w:val="left"/>
            </w:pPr>
            <w:r>
              <w:rPr>
                <w:rFonts w:hint="eastAsia" w:ascii="宋体" w:hAnsi="宋体" w:eastAsia="宋体" w:cs="宋体"/>
                <w:kern w:val="0"/>
                <w:sz w:val="20"/>
                <w:szCs w:val="20"/>
                <w:lang w:bidi="ar"/>
              </w:rPr>
              <w:t>四、结转下年度继续办理</w:t>
            </w:r>
          </w:p>
        </w:tc>
        <w:tc>
          <w:tcPr>
            <w:tcW w:w="687" w:type="dxa"/>
            <w:tcBorders>
              <w:top w:val="nil"/>
              <w:left w:val="nil"/>
              <w:bottom w:val="single" w:color="auto" w:sz="8" w:space="0"/>
              <w:right w:val="single" w:color="auto" w:sz="8" w:space="0"/>
            </w:tcBorders>
            <w:tcMar>
              <w:left w:w="57" w:type="dxa"/>
              <w:right w:w="57" w:type="dxa"/>
            </w:tcMar>
          </w:tcPr>
          <w:p>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r>
              <w:rPr>
                <w:rFonts w:ascii="Calibri" w:hAnsi="Calibri" w:eastAsia="宋体" w:cs="Calibri"/>
                <w:kern w:val="0"/>
                <w:sz w:val="20"/>
                <w:szCs w:val="20"/>
                <w:lang w:bidi="ar"/>
              </w:rPr>
              <w:t>0 </w:t>
            </w:r>
          </w:p>
        </w:tc>
        <w:tc>
          <w:tcPr>
            <w:tcW w:w="687" w:type="dxa"/>
            <w:tcBorders>
              <w:top w:val="nil"/>
              <w:left w:val="nil"/>
              <w:bottom w:val="single" w:color="auto" w:sz="8" w:space="0"/>
              <w:right w:val="single" w:color="auto" w:sz="8" w:space="0"/>
            </w:tcBorders>
            <w:tcMar>
              <w:left w:w="57" w:type="dxa"/>
              <w:right w:w="57" w:type="dxa"/>
            </w:tcMar>
          </w:tcPr>
          <w:p>
            <w:r>
              <w:rPr>
                <w:rFonts w:ascii="Calibri" w:hAnsi="Calibri" w:eastAsia="宋体" w:cs="Calibri"/>
                <w:kern w:val="0"/>
                <w:sz w:val="20"/>
                <w:szCs w:val="20"/>
                <w:lang w:bidi="ar"/>
              </w:rPr>
              <w:t>0 </w:t>
            </w:r>
          </w:p>
        </w:tc>
        <w:tc>
          <w:tcPr>
            <w:tcW w:w="699" w:type="dxa"/>
            <w:tcBorders>
              <w:top w:val="nil"/>
              <w:left w:val="nil"/>
              <w:bottom w:val="single" w:color="auto" w:sz="8" w:space="0"/>
              <w:right w:val="single" w:color="auto" w:sz="8" w:space="0"/>
            </w:tcBorders>
            <w:tcMar>
              <w:left w:w="57" w:type="dxa"/>
              <w:right w:w="57" w:type="dxa"/>
            </w:tcMar>
          </w:tcPr>
          <w:p>
            <w:pPr>
              <w:spacing w:line="560" w:lineRule="exact"/>
              <w:rPr>
                <w:rFonts w:ascii="宋体"/>
                <w:sz w:val="24"/>
                <w:szCs w:val="24"/>
                <w:highlight w:val="cyan"/>
              </w:rPr>
            </w:pPr>
            <w:r>
              <w:rPr>
                <w:rFonts w:hint="eastAsia" w:ascii="宋体"/>
                <w:sz w:val="24"/>
                <w:szCs w:val="24"/>
              </w:rPr>
              <w:t>0</w:t>
            </w:r>
          </w:p>
        </w:tc>
      </w:tr>
    </w:tbl>
    <w:p>
      <w:pPr>
        <w:spacing w:line="560" w:lineRule="exact"/>
        <w:ind w:firstLine="640" w:firstLineChars="20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四、政府信息公开行政复议、行政诉讼情况</w:t>
      </w: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其他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szCs w:val="24"/>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rPr>
                <w:rFonts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其他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eastAsia="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eastAsia="宋体" w:cs="宋体"/>
                <w:color w:val="000000"/>
                <w:kern w:val="0"/>
                <w:sz w:val="20"/>
                <w:szCs w:val="20"/>
                <w:lang w:bidi="ar"/>
              </w:rPr>
              <w:t>其他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hint="eastAsia" w:ascii="宋体" w:hAnsi="宋体" w:eastAsia="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center"/>
            </w:pPr>
            <w:r>
              <w:rPr>
                <w:rFonts w:ascii="黑体" w:hAnsi="宋体" w:eastAsia="黑体" w:cs="黑体"/>
                <w:kern w:val="0"/>
                <w:sz w:val="20"/>
                <w:szCs w:val="20"/>
                <w:lang w:bidi="ar"/>
              </w:rPr>
              <w:t>0 </w:t>
            </w:r>
          </w:p>
        </w:tc>
        <w:tc>
          <w:tcPr>
            <w:tcW w:w="650"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pPr>
            <w:r>
              <w:rPr>
                <w:rFonts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pPr>
            <w:r>
              <w:rPr>
                <w:rFonts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widowControl/>
              <w:spacing w:line="560" w:lineRule="exact"/>
              <w:jc w:val="center"/>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spacing w:line="560" w:lineRule="exact"/>
              <w:rPr>
                <w:rFonts w:ascii="宋体"/>
                <w:sz w:val="24"/>
                <w:szCs w:val="24"/>
              </w:rPr>
            </w:pPr>
            <w:r>
              <w:rPr>
                <w:rFonts w:ascii="黑体" w:hAnsi="宋体" w:eastAsia="黑体" w:cs="黑体"/>
                <w:kern w:val="0"/>
                <w:sz w:val="20"/>
                <w:szCs w:val="20"/>
                <w:lang w:bidi="ar"/>
              </w:rPr>
              <w:t>0</w:t>
            </w:r>
          </w:p>
        </w:tc>
      </w:tr>
    </w:tbl>
    <w:p>
      <w:pPr>
        <w:spacing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五、存在的主要问题及改进情况</w:t>
      </w:r>
    </w:p>
    <w:p>
      <w:pPr>
        <w:spacing w:line="560" w:lineRule="exact"/>
        <w:ind w:firstLine="640" w:firstLineChars="200"/>
        <w:rPr>
          <w:rFonts w:hint="eastAsia" w:ascii="楷体" w:hAnsi="楷体" w:eastAsia="楷体" w:cs="楷体"/>
          <w:color w:val="333333"/>
          <w:sz w:val="32"/>
          <w:szCs w:val="32"/>
          <w:shd w:val="clear" w:color="auto" w:fill="FFFFFF"/>
        </w:rPr>
      </w:pPr>
      <w:r>
        <w:rPr>
          <w:rFonts w:hint="eastAsia" w:ascii="楷体" w:hAnsi="楷体" w:eastAsia="楷体" w:cs="楷体"/>
          <w:color w:val="333333"/>
          <w:sz w:val="32"/>
          <w:szCs w:val="32"/>
          <w:shd w:val="clear" w:color="auto" w:fill="FFFFFF"/>
        </w:rPr>
        <w:t>（一）2020年问题整改情况</w:t>
      </w:r>
    </w:p>
    <w:p>
      <w:pPr>
        <w:spacing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一是加一步加大公开范围。在局政务公开培训上增加了公开范围的培训内容，新增了环保督察相关内容</w:t>
      </w:r>
      <w:r>
        <w:rPr>
          <w:rFonts w:hint="eastAsia" w:ascii="仿宋_GB2312" w:hAnsi="仿宋_GB2312" w:eastAsia="仿宋_GB2312" w:cs="仿宋_GB2312"/>
          <w:sz w:val="32"/>
          <w:szCs w:val="32"/>
        </w:rPr>
        <w:t>。二是完善了工作形式。每月定期向局分管领导汇报当月政务公开公开自查情况，对工作不到位的科室由局分管领导直接约谈科室负责人。三是加大了公开力度。</w:t>
      </w:r>
      <w:r>
        <w:rPr>
          <w:rFonts w:hint="eastAsia" w:ascii="仿宋_GB2312" w:hAnsi="仿宋_GB2312" w:eastAsia="仿宋_GB2312" w:cs="仿宋_GB2312"/>
          <w:color w:val="333333"/>
          <w:sz w:val="32"/>
          <w:szCs w:val="32"/>
          <w:shd w:val="clear" w:color="auto" w:fill="FFFFFF"/>
        </w:rPr>
        <w:t>按照中央、省、市要求，依法公开污染防治、水和空气质量情况、建设项目环境影响评价、突发环境事件、环境执法检查、重点污染企业信息、主要河流水质情况等信息1</w:t>
      </w:r>
      <w:r>
        <w:rPr>
          <w:rFonts w:ascii="仿宋_GB2312" w:hAnsi="仿宋_GB2312" w:eastAsia="仿宋_GB2312" w:cs="仿宋_GB2312"/>
          <w:color w:val="333333"/>
          <w:sz w:val="32"/>
          <w:szCs w:val="32"/>
          <w:shd w:val="clear" w:color="auto" w:fill="FFFFFF"/>
        </w:rPr>
        <w:t>28</w:t>
      </w:r>
      <w:r>
        <w:rPr>
          <w:rFonts w:hint="eastAsia" w:ascii="仿宋_GB2312" w:hAnsi="仿宋_GB2312" w:eastAsia="仿宋_GB2312" w:cs="仿宋_GB2312"/>
          <w:color w:val="333333"/>
          <w:sz w:val="32"/>
          <w:szCs w:val="32"/>
          <w:shd w:val="clear" w:color="auto" w:fill="FFFFFF"/>
        </w:rPr>
        <w:t>余条。</w:t>
      </w:r>
    </w:p>
    <w:p>
      <w:pPr>
        <w:spacing w:line="560" w:lineRule="exact"/>
        <w:ind w:firstLine="640" w:firstLineChars="200"/>
        <w:rPr>
          <w:rFonts w:hint="eastAsia" w:ascii="楷体" w:hAnsi="楷体" w:eastAsia="楷体" w:cs="楷体"/>
          <w:color w:val="333333"/>
          <w:sz w:val="32"/>
          <w:szCs w:val="32"/>
          <w:shd w:val="clear" w:color="auto" w:fill="FFFFFF"/>
          <w:lang w:eastAsia="zh-CN"/>
        </w:rPr>
      </w:pPr>
      <w:r>
        <w:rPr>
          <w:rFonts w:hint="eastAsia" w:ascii="楷体" w:hAnsi="楷体" w:eastAsia="楷体" w:cs="楷体"/>
          <w:color w:val="333333"/>
          <w:sz w:val="32"/>
          <w:szCs w:val="32"/>
          <w:shd w:val="clear" w:color="auto" w:fill="FFFFFF"/>
        </w:rPr>
        <w:t>（二）</w:t>
      </w:r>
      <w:r>
        <w:rPr>
          <w:rFonts w:hint="eastAsia" w:ascii="楷体" w:hAnsi="楷体" w:eastAsia="楷体" w:cs="楷体"/>
          <w:color w:val="333333"/>
          <w:sz w:val="32"/>
          <w:szCs w:val="32"/>
          <w:shd w:val="clear" w:color="auto" w:fill="FFFFFF"/>
          <w:lang w:val="en-US" w:eastAsia="zh-CN"/>
        </w:rPr>
        <w:t>2021年存在的主要</w:t>
      </w:r>
      <w:r>
        <w:rPr>
          <w:rFonts w:hint="eastAsia" w:ascii="楷体" w:hAnsi="楷体" w:eastAsia="楷体" w:cs="楷体"/>
          <w:color w:val="333333"/>
          <w:sz w:val="32"/>
          <w:szCs w:val="32"/>
          <w:shd w:val="clear" w:color="auto" w:fill="FFFFFF"/>
        </w:rPr>
        <w:t>问题</w:t>
      </w:r>
      <w:r>
        <w:rPr>
          <w:rFonts w:hint="eastAsia" w:ascii="楷体" w:hAnsi="楷体" w:eastAsia="楷体" w:cs="楷体"/>
          <w:color w:val="333333"/>
          <w:sz w:val="32"/>
          <w:szCs w:val="32"/>
          <w:shd w:val="clear" w:color="auto" w:fill="FFFFFF"/>
          <w:lang w:eastAsia="zh-CN"/>
        </w:rPr>
        <w:t>及改进情况</w:t>
      </w:r>
    </w:p>
    <w:p>
      <w:pPr>
        <w:spacing w:line="560" w:lineRule="exact"/>
        <w:ind w:firstLine="643"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eastAsia="zh-CN"/>
        </w:rPr>
        <w:t>主要问题：</w:t>
      </w:r>
      <w:r>
        <w:rPr>
          <w:rFonts w:hint="eastAsia" w:ascii="仿宋_GB2312" w:hAnsi="仿宋_GB2312" w:eastAsia="仿宋_GB2312" w:cs="仿宋_GB2312"/>
          <w:color w:val="333333"/>
          <w:sz w:val="32"/>
          <w:szCs w:val="32"/>
          <w:shd w:val="clear" w:color="auto" w:fill="FFFFFF"/>
        </w:rPr>
        <w:t>一是专业领域的理论学习仍需加强，提升对《政府信息公开条例》内容的准确把握；二是决策公开仍需进一步加强，公众参与具体举措需进一步细化完善；三是政策解读方式不够多元，精准解读效果仍需提高。</w:t>
      </w:r>
    </w:p>
    <w:p>
      <w:pPr>
        <w:spacing w:line="560" w:lineRule="exact"/>
        <w:ind w:firstLine="643"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eastAsia="zh-CN"/>
        </w:rPr>
        <w:t>改进情况：</w:t>
      </w:r>
      <w:r>
        <w:rPr>
          <w:rFonts w:ascii="仿宋_GB2312" w:hAnsi="仿宋_GB2312" w:eastAsia="仿宋_GB2312" w:cs="仿宋_GB2312"/>
          <w:color w:val="333333"/>
          <w:sz w:val="32"/>
          <w:szCs w:val="32"/>
          <w:shd w:val="clear" w:color="auto" w:fill="FFFFFF"/>
        </w:rPr>
        <w:t>一是加强对信息公开业务知识的学习，特别是对《</w:t>
      </w:r>
      <w:r>
        <w:rPr>
          <w:rFonts w:hint="eastAsia" w:ascii="仿宋_GB2312" w:hAnsi="仿宋_GB2312" w:eastAsia="仿宋_GB2312" w:cs="仿宋_GB2312"/>
          <w:color w:val="333333"/>
          <w:sz w:val="32"/>
          <w:szCs w:val="32"/>
          <w:shd w:val="clear" w:color="auto" w:fill="FFFFFF"/>
        </w:rPr>
        <w:t>政府信息公开</w:t>
      </w:r>
      <w:r>
        <w:rPr>
          <w:rFonts w:ascii="仿宋_GB2312" w:hAnsi="仿宋_GB2312" w:eastAsia="仿宋_GB2312" w:cs="仿宋_GB2312"/>
          <w:color w:val="333333"/>
          <w:sz w:val="32"/>
          <w:szCs w:val="32"/>
          <w:shd w:val="clear" w:color="auto" w:fill="FFFFFF"/>
        </w:rPr>
        <w:t>条例》新内容的学习，全面、及时、规范做好信息公开工作。二是完善信息公开考评机制和信息公开保密审查制度，畅通政府信息公开渠道，强化对拟公开信息的三级审核制度，杜绝泄密事件发生。三是完善重大政策解读机制，准确解读法规政策，积极回应群众关切。四是围绕重点工作，重点做好污染防治、水/气质量情况、建设项目影响评价、重点行业环境污染治理等公众重点关注的信息。</w:t>
      </w:r>
    </w:p>
    <w:p>
      <w:pPr>
        <w:spacing w:line="560" w:lineRule="exact"/>
        <w:ind w:firstLine="640" w:firstLineChars="20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六、其他需要报告的事项</w:t>
      </w:r>
    </w:p>
    <w:p>
      <w:p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（一）收取信息处理费情况。</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2021年度未收取政府信息公开信息处理费，包括：检索费、复制费（含案卷材料复制费）、邮寄费。</w:t>
      </w:r>
    </w:p>
    <w:p>
      <w:pPr>
        <w:adjustRightInd w:val="0"/>
        <w:snapToGrid w:val="0"/>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（二）落实安丘市</w:t>
      </w:r>
      <w:r>
        <w:rPr>
          <w:rFonts w:hint="eastAsia" w:ascii="楷体" w:hAnsi="楷体" w:eastAsia="楷体" w:cs="楷体"/>
          <w:sz w:val="32"/>
          <w:szCs w:val="32"/>
          <w:lang w:val="en-US" w:eastAsia="zh-CN"/>
        </w:rPr>
        <w:t>2021年度政务公开工作要点情况</w:t>
      </w:r>
    </w:p>
    <w:p>
      <w:pPr>
        <w:adjustRightInd w:val="0"/>
        <w:snapToGrid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潍坊市生态环境局安丘分局按照</w:t>
      </w:r>
      <w:r>
        <w:rPr>
          <w:rFonts w:hint="default" w:ascii="仿宋_GB2312" w:hAnsi="仿宋_GB2312" w:eastAsia="仿宋_GB2312" w:cs="仿宋_GB2312"/>
          <w:sz w:val="32"/>
          <w:szCs w:val="32"/>
          <w:lang w:val="en-US" w:eastAsia="zh-CN"/>
        </w:rPr>
        <w:t>《安丘市人民政府办公室关于印发2021年安丘市政务公开重点工作任务分工的通知》，根据任务分工要求和结合本单位实际，制定《</w:t>
      </w:r>
      <w:r>
        <w:rPr>
          <w:rFonts w:hint="eastAsia" w:ascii="仿宋_GB2312" w:hAnsi="仿宋_GB2312" w:eastAsia="仿宋_GB2312" w:cs="仿宋_GB2312"/>
          <w:sz w:val="32"/>
          <w:szCs w:val="32"/>
          <w:lang w:val="en-US" w:eastAsia="zh-CN"/>
        </w:rPr>
        <w:t>潍坊市生态环境局安丘分局</w:t>
      </w:r>
      <w:r>
        <w:rPr>
          <w:rFonts w:hint="default" w:ascii="仿宋_GB2312" w:hAnsi="仿宋_GB2312" w:eastAsia="仿宋_GB2312" w:cs="仿宋_GB2312"/>
          <w:sz w:val="32"/>
          <w:szCs w:val="32"/>
          <w:lang w:val="en-US" w:eastAsia="zh-CN"/>
        </w:rPr>
        <w:t>2021年政务公开重点工作任务分工》和《</w:t>
      </w:r>
      <w:r>
        <w:rPr>
          <w:rFonts w:hint="eastAsia" w:ascii="仿宋_GB2312" w:hAnsi="仿宋_GB2312" w:eastAsia="仿宋_GB2312" w:cs="仿宋_GB2312"/>
          <w:sz w:val="32"/>
          <w:szCs w:val="32"/>
          <w:lang w:val="en-US" w:eastAsia="zh-CN"/>
        </w:rPr>
        <w:t>潍坊市生态环境局安丘分局</w:t>
      </w:r>
      <w:r>
        <w:rPr>
          <w:rFonts w:hint="default" w:ascii="仿宋_GB2312" w:hAnsi="仿宋_GB2312" w:eastAsia="仿宋_GB2312" w:cs="仿宋_GB2312"/>
          <w:sz w:val="32"/>
          <w:szCs w:val="32"/>
          <w:lang w:val="en-US" w:eastAsia="zh-CN"/>
        </w:rPr>
        <w:t>2021年主动公开基本目录》，明确我局各科室职责分工情况，</w:t>
      </w:r>
      <w:r>
        <w:rPr>
          <w:rFonts w:hint="eastAsia" w:ascii="仿宋_GB2312" w:hAnsi="仿宋_GB2312" w:eastAsia="仿宋_GB2312" w:cs="仿宋_GB2312"/>
          <w:sz w:val="32"/>
          <w:szCs w:val="32"/>
          <w:lang w:val="en-US" w:eastAsia="zh-CN"/>
        </w:rPr>
        <w:t>积极推进</w:t>
      </w:r>
      <w:r>
        <w:rPr>
          <w:rFonts w:hint="default" w:ascii="仿宋_GB2312" w:hAnsi="仿宋_GB2312" w:eastAsia="仿宋_GB2312" w:cs="仿宋_GB2312"/>
          <w:sz w:val="32"/>
          <w:szCs w:val="32"/>
          <w:lang w:val="en-US" w:eastAsia="zh-CN"/>
        </w:rPr>
        <w:t>工作落实，</w:t>
      </w:r>
      <w:r>
        <w:rPr>
          <w:rFonts w:hint="eastAsia" w:ascii="仿宋_GB2312" w:hAnsi="仿宋_GB2312" w:eastAsia="仿宋_GB2312" w:cs="仿宋_GB2312"/>
          <w:sz w:val="32"/>
          <w:szCs w:val="32"/>
          <w:lang w:val="en-US" w:eastAsia="zh-CN"/>
        </w:rPr>
        <w:t>努力做好</w:t>
      </w:r>
      <w:r>
        <w:rPr>
          <w:rFonts w:hint="default" w:ascii="仿宋_GB2312" w:hAnsi="仿宋_GB2312" w:eastAsia="仿宋_GB2312" w:cs="仿宋_GB2312"/>
          <w:sz w:val="32"/>
          <w:szCs w:val="32"/>
          <w:lang w:val="en-US" w:eastAsia="zh-CN"/>
        </w:rPr>
        <w:t>政府信息公开工作。</w:t>
      </w:r>
    </w:p>
    <w:p>
      <w:pPr>
        <w:ind w:firstLine="640" w:firstLineChars="200"/>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）人大代表建议和政协委员提案办理公开情况。</w:t>
      </w:r>
    </w:p>
    <w:p>
      <w:pPr>
        <w:spacing w:line="560" w:lineRule="exact"/>
        <w:ind w:firstLine="640" w:firstLineChars="200"/>
        <w:rPr>
          <w:rFonts w:ascii="仿宋_GB2312" w:hAnsi="仿宋_GB2312" w:eastAsia="仿宋_GB2312" w:cs="仿宋_GB2312"/>
          <w:color w:val="333333"/>
          <w:kern w:val="0"/>
          <w:sz w:val="32"/>
          <w:szCs w:val="32"/>
          <w:shd w:val="clear" w:color="auto" w:fill="FFFFFF"/>
        </w:rPr>
      </w:pPr>
      <w:r>
        <w:rPr>
          <w:rFonts w:ascii="仿宋_GB2312" w:hAnsi="仿宋_GB2312" w:eastAsia="仿宋_GB2312" w:cs="仿宋_GB2312"/>
          <w:color w:val="333333"/>
          <w:kern w:val="0"/>
          <w:sz w:val="32"/>
          <w:szCs w:val="32"/>
          <w:shd w:val="clear" w:color="auto" w:fill="FFFFFF"/>
        </w:rPr>
        <w:t>2021年，潍坊市生态环境局</w:t>
      </w:r>
      <w:r>
        <w:rPr>
          <w:rFonts w:hint="eastAsia" w:ascii="仿宋_GB2312" w:hAnsi="仿宋_GB2312" w:eastAsia="仿宋_GB2312" w:cs="仿宋_GB2312"/>
          <w:color w:val="333333"/>
          <w:kern w:val="0"/>
          <w:sz w:val="32"/>
          <w:szCs w:val="32"/>
          <w:shd w:val="clear" w:color="auto" w:fill="FFFFFF"/>
        </w:rPr>
        <w:t>安丘</w:t>
      </w:r>
      <w:r>
        <w:rPr>
          <w:rFonts w:ascii="仿宋_GB2312" w:hAnsi="仿宋_GB2312" w:eastAsia="仿宋_GB2312" w:cs="仿宋_GB2312"/>
          <w:color w:val="333333"/>
          <w:kern w:val="0"/>
          <w:sz w:val="32"/>
          <w:szCs w:val="32"/>
          <w:shd w:val="clear" w:color="auto" w:fill="FFFFFF"/>
        </w:rPr>
        <w:t>分局</w:t>
      </w:r>
      <w:r>
        <w:rPr>
          <w:rFonts w:hint="eastAsia" w:ascii="仿宋_GB2312" w:hAnsi="仿宋_GB2312" w:eastAsia="仿宋_GB2312" w:cs="仿宋_GB2312"/>
          <w:color w:val="333333"/>
          <w:kern w:val="0"/>
          <w:sz w:val="32"/>
          <w:szCs w:val="32"/>
          <w:shd w:val="clear" w:color="auto" w:fill="FFFFFF"/>
        </w:rPr>
        <w:t>未承办人大代表建议，</w:t>
      </w:r>
      <w:r>
        <w:rPr>
          <w:rFonts w:ascii="仿宋_GB2312" w:hAnsi="仿宋_GB2312" w:eastAsia="仿宋_GB2312" w:cs="仿宋_GB2312"/>
          <w:color w:val="333333"/>
          <w:kern w:val="0"/>
          <w:sz w:val="32"/>
          <w:szCs w:val="32"/>
          <w:shd w:val="clear" w:color="auto" w:fill="FFFFFF"/>
        </w:rPr>
        <w:t>共</w:t>
      </w:r>
      <w:r>
        <w:rPr>
          <w:rFonts w:hint="eastAsia" w:ascii="仿宋_GB2312" w:hAnsi="仿宋_GB2312" w:eastAsia="仿宋_GB2312" w:cs="仿宋_GB2312"/>
          <w:color w:val="333333"/>
          <w:kern w:val="0"/>
          <w:sz w:val="32"/>
          <w:szCs w:val="32"/>
          <w:shd w:val="clear" w:color="auto" w:fill="FFFFFF"/>
        </w:rPr>
        <w:t>承</w:t>
      </w:r>
      <w:r>
        <w:rPr>
          <w:rFonts w:ascii="仿宋_GB2312" w:hAnsi="仿宋_GB2312" w:eastAsia="仿宋_GB2312" w:cs="仿宋_GB2312"/>
          <w:color w:val="333333"/>
          <w:kern w:val="0"/>
          <w:sz w:val="32"/>
          <w:szCs w:val="32"/>
          <w:shd w:val="clear" w:color="auto" w:fill="FFFFFF"/>
        </w:rPr>
        <w:t>办政协委员提案2件，所提问题已解</w:t>
      </w:r>
      <w:r>
        <w:rPr>
          <w:rFonts w:hint="eastAsia" w:ascii="仿宋_GB2312" w:hAnsi="仿宋_GB2312" w:eastAsia="仿宋_GB2312" w:cs="仿宋_GB2312"/>
          <w:color w:val="333333"/>
          <w:kern w:val="0"/>
          <w:sz w:val="32"/>
          <w:szCs w:val="32"/>
          <w:shd w:val="clear" w:color="auto" w:fill="FFFFFF"/>
        </w:rPr>
        <w:t>，采纳率</w:t>
      </w:r>
      <w:r>
        <w:rPr>
          <w:rFonts w:ascii="仿宋_GB2312" w:hAnsi="仿宋_GB2312" w:eastAsia="仿宋_GB2312" w:cs="仿宋_GB2312"/>
          <w:color w:val="333333"/>
          <w:kern w:val="0"/>
          <w:sz w:val="32"/>
          <w:szCs w:val="32"/>
          <w:shd w:val="clear" w:color="auto" w:fill="FFFFFF"/>
        </w:rPr>
        <w:t>100%。在政府门户网站建议提案专栏，集中发市全市人大代表关于环保系统建议和政协委员关于环保系统提案答复情况。</w:t>
      </w:r>
    </w:p>
    <w:p>
      <w:pPr>
        <w:spacing w:line="560" w:lineRule="exact"/>
        <w:ind w:firstLine="640" w:firstLineChars="200"/>
        <w:rPr>
          <w:rFonts w:hint="eastAsia" w:ascii="楷体" w:hAnsi="楷体" w:eastAsia="楷体" w:cs="楷体"/>
          <w:color w:val="333333"/>
          <w:kern w:val="0"/>
          <w:sz w:val="32"/>
          <w:szCs w:val="32"/>
          <w:shd w:val="clear" w:color="auto" w:fill="FFFFFF"/>
        </w:rPr>
      </w:pPr>
      <w:r>
        <w:rPr>
          <w:rFonts w:hint="eastAsia" w:ascii="楷体" w:hAnsi="楷体" w:eastAsia="楷体" w:cs="楷体"/>
          <w:color w:val="333333"/>
          <w:kern w:val="0"/>
          <w:sz w:val="32"/>
          <w:szCs w:val="32"/>
          <w:shd w:val="clear" w:color="auto" w:fill="FFFFFF"/>
        </w:rPr>
        <w:t>（四）</w:t>
      </w:r>
      <w:r>
        <w:rPr>
          <w:rFonts w:hint="eastAsia" w:ascii="楷体" w:hAnsi="楷体" w:eastAsia="楷体" w:cs="楷体"/>
          <w:color w:val="333333"/>
          <w:kern w:val="0"/>
          <w:sz w:val="32"/>
          <w:szCs w:val="32"/>
          <w:shd w:val="clear" w:color="auto" w:fill="FFFFFF"/>
          <w:lang w:eastAsia="zh-CN"/>
        </w:rPr>
        <w:t>潍坊市生态环境局安丘分局</w:t>
      </w:r>
      <w:r>
        <w:rPr>
          <w:rFonts w:hint="eastAsia" w:ascii="楷体" w:hAnsi="楷体" w:eastAsia="楷体" w:cs="楷体"/>
          <w:color w:val="333333"/>
          <w:kern w:val="0"/>
          <w:sz w:val="32"/>
          <w:szCs w:val="32"/>
          <w:shd w:val="clear" w:color="auto" w:fill="FFFFFF"/>
        </w:rPr>
        <w:t>2021年度政务公开工作创新情况</w:t>
      </w:r>
    </w:p>
    <w:p>
      <w:pPr>
        <w:spacing w:line="560" w:lineRule="exact"/>
        <w:ind w:firstLine="640" w:firstLineChars="200"/>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发挥新媒体平台特点和传播优势，创新发布方式，“安丘环保”微信公众号运营以来，</w:t>
      </w:r>
      <w:r>
        <w:rPr>
          <w:rFonts w:hint="eastAsia" w:ascii="仿宋_GB2312" w:hAnsi="仿宋_GB2312" w:eastAsia="仿宋_GB2312" w:cs="仿宋_GB2312"/>
          <w:color w:val="333333"/>
          <w:kern w:val="0"/>
          <w:sz w:val="32"/>
          <w:szCs w:val="32"/>
          <w:shd w:val="clear" w:color="auto" w:fill="FFFFFF"/>
          <w:lang w:eastAsia="zh-CN"/>
        </w:rPr>
        <w:t>与安丘市政府门户网站实现信息互动、信息共享，</w:t>
      </w:r>
      <w:r>
        <w:rPr>
          <w:rFonts w:hint="eastAsia" w:ascii="仿宋_GB2312" w:hAnsi="仿宋_GB2312" w:eastAsia="仿宋_GB2312" w:cs="仿宋_GB2312"/>
          <w:color w:val="333333"/>
          <w:kern w:val="0"/>
          <w:sz w:val="32"/>
          <w:szCs w:val="32"/>
          <w:shd w:val="clear" w:color="auto" w:fill="FFFFFF"/>
        </w:rPr>
        <w:t>发布环保信息490条，营造了良好的</w:t>
      </w:r>
      <w:r>
        <w:rPr>
          <w:rFonts w:hint="eastAsia" w:ascii="仿宋_GB2312" w:hAnsi="仿宋_GB2312" w:eastAsia="仿宋_GB2312" w:cs="仿宋_GB2312"/>
          <w:color w:val="333333"/>
          <w:kern w:val="0"/>
          <w:sz w:val="32"/>
          <w:szCs w:val="32"/>
          <w:shd w:val="clear" w:color="auto" w:fill="FFFFFF"/>
          <w:lang w:eastAsia="zh-CN"/>
        </w:rPr>
        <w:t>环保</w:t>
      </w:r>
      <w:r>
        <w:rPr>
          <w:rFonts w:hint="eastAsia" w:ascii="仿宋_GB2312" w:hAnsi="仿宋_GB2312" w:eastAsia="仿宋_GB2312" w:cs="仿宋_GB2312"/>
          <w:color w:val="333333"/>
          <w:kern w:val="0"/>
          <w:sz w:val="32"/>
          <w:szCs w:val="32"/>
          <w:shd w:val="clear" w:color="auto" w:fill="FFFFFF"/>
        </w:rPr>
        <w:t>舆论氛围。</w:t>
      </w:r>
    </w:p>
    <w:p>
      <w:pPr>
        <w:spacing w:line="560" w:lineRule="exact"/>
        <w:ind w:firstLine="640" w:firstLineChars="200"/>
        <w:rPr>
          <w:rFonts w:hint="eastAsia" w:ascii="楷体" w:hAnsi="楷体" w:eastAsia="楷体" w:cs="楷体"/>
          <w:color w:val="333333"/>
          <w:kern w:val="0"/>
          <w:sz w:val="32"/>
          <w:szCs w:val="32"/>
          <w:shd w:val="clear" w:color="auto" w:fill="FFFFFF"/>
        </w:rPr>
      </w:pPr>
      <w:r>
        <w:rPr>
          <w:rFonts w:hint="eastAsia" w:ascii="楷体" w:hAnsi="楷体" w:eastAsia="楷体" w:cs="楷体"/>
          <w:color w:val="333333"/>
          <w:kern w:val="0"/>
          <w:sz w:val="32"/>
          <w:szCs w:val="32"/>
          <w:shd w:val="clear" w:color="auto" w:fill="FFFFFF"/>
        </w:rPr>
        <w:t>（五）潍坊市生态环境局安丘分局2021年度政府信息公开工作年度报告数据统计需要说明的事项</w:t>
      </w:r>
    </w:p>
    <w:p>
      <w:pPr>
        <w:spacing w:line="560" w:lineRule="exact"/>
        <w:ind w:firstLine="640" w:firstLineChars="200"/>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本年度报告中所列各项数据的统计期限自2021年1月1日至2021年12月31日。本年度报告的电子版可在安丘市人民政府门户网站（http://www.anqiu.gov.cn/）下载。如对本报告有任何疑问，请与潍坊市生态环境局安丘分局办公室联系（地址：山东省安丘市新安南路70号农产品质量安全监管中心11楼1101室联系，邮编：262100，电话：0536-8025089，传真：0536-8025088，电子邮箱：</w:t>
      </w:r>
      <w:r>
        <w:rPr>
          <w:rFonts w:hint="eastAsia" w:ascii="仿宋_GB2312" w:hAnsi="仿宋_GB2312" w:eastAsia="仿宋_GB2312" w:cs="仿宋_GB2312"/>
          <w:color w:val="333333"/>
          <w:kern w:val="0"/>
          <w:sz w:val="32"/>
          <w:szCs w:val="32"/>
          <w:shd w:val="clear" w:color="auto" w:fill="FFFFFF"/>
        </w:rPr>
        <w:fldChar w:fldCharType="begin"/>
      </w:r>
      <w:r>
        <w:rPr>
          <w:rFonts w:hint="eastAsia" w:ascii="仿宋_GB2312" w:hAnsi="仿宋_GB2312" w:eastAsia="仿宋_GB2312" w:cs="仿宋_GB2312"/>
          <w:color w:val="333333"/>
          <w:kern w:val="0"/>
          <w:sz w:val="32"/>
          <w:szCs w:val="32"/>
          <w:shd w:val="clear" w:color="auto" w:fill="FFFFFF"/>
        </w:rPr>
        <w:instrText xml:space="preserve"> HYPERLINK "mailto:aqhbjbgs@wf.shandong.cn）。" </w:instrText>
      </w:r>
      <w:r>
        <w:rPr>
          <w:rFonts w:hint="eastAsia" w:ascii="仿宋_GB2312" w:hAnsi="仿宋_GB2312" w:eastAsia="仿宋_GB2312" w:cs="仿宋_GB2312"/>
          <w:color w:val="333333"/>
          <w:kern w:val="0"/>
          <w:sz w:val="32"/>
          <w:szCs w:val="32"/>
          <w:shd w:val="clear" w:color="auto" w:fill="FFFFFF"/>
        </w:rPr>
        <w:fldChar w:fldCharType="separate"/>
      </w:r>
      <w:r>
        <w:rPr>
          <w:rStyle w:val="11"/>
          <w:rFonts w:hint="eastAsia" w:ascii="仿宋_GB2312" w:hAnsi="仿宋_GB2312" w:eastAsia="仿宋_GB2312" w:cs="仿宋_GB2312"/>
          <w:color w:val="333333"/>
          <w:kern w:val="0"/>
          <w:sz w:val="32"/>
          <w:szCs w:val="32"/>
          <w:shd w:val="clear" w:color="auto" w:fill="FFFFFF"/>
        </w:rPr>
        <w:t>aqhbjbgs@wf.shandong.cn）。</w:t>
      </w:r>
      <w:r>
        <w:rPr>
          <w:rFonts w:hint="eastAsia" w:ascii="仿宋_GB2312" w:hAnsi="仿宋_GB2312" w:eastAsia="仿宋_GB2312" w:cs="仿宋_GB2312"/>
          <w:color w:val="333333"/>
          <w:kern w:val="0"/>
          <w:sz w:val="32"/>
          <w:szCs w:val="32"/>
          <w:shd w:val="clear" w:color="auto" w:fill="FFFFFF"/>
        </w:rPr>
        <w:fldChar w:fldCharType="end"/>
      </w:r>
    </w:p>
    <w:p>
      <w:pPr>
        <w:spacing w:line="560" w:lineRule="exact"/>
        <w:ind w:firstLine="640" w:firstLineChars="200"/>
        <w:rPr>
          <w:rFonts w:hint="eastAsia" w:ascii="楷体" w:hAnsi="楷体" w:eastAsia="楷体" w:cs="楷体"/>
          <w:color w:val="333333"/>
          <w:kern w:val="0"/>
          <w:sz w:val="32"/>
          <w:szCs w:val="32"/>
          <w:shd w:val="clear" w:color="auto" w:fill="FFFFFF"/>
        </w:rPr>
      </w:pPr>
      <w:r>
        <w:rPr>
          <w:rFonts w:hint="eastAsia" w:ascii="楷体" w:hAnsi="楷体" w:eastAsia="楷体" w:cs="楷体"/>
          <w:color w:val="333333"/>
          <w:kern w:val="0"/>
          <w:sz w:val="32"/>
          <w:szCs w:val="32"/>
          <w:shd w:val="clear" w:color="auto" w:fill="FFFFFF"/>
        </w:rPr>
        <w:t>（六）潍坊市生态环境局安丘分局2021年度没有其他需要报告的事项。</w:t>
      </w:r>
    </w:p>
    <w:p>
      <w:pPr>
        <w:spacing w:line="560" w:lineRule="exact"/>
        <w:ind w:firstLine="640" w:firstLineChars="200"/>
        <w:rPr>
          <w:rFonts w:hint="eastAsia" w:ascii="楷体" w:hAnsi="楷体" w:eastAsia="楷体" w:cs="楷体"/>
          <w:color w:val="333333"/>
          <w:kern w:val="0"/>
          <w:sz w:val="32"/>
          <w:szCs w:val="32"/>
          <w:shd w:val="clear" w:color="auto" w:fill="FFFFFF"/>
        </w:rPr>
      </w:pPr>
      <w:r>
        <w:rPr>
          <w:rFonts w:hint="eastAsia" w:ascii="楷体" w:hAnsi="楷体" w:eastAsia="楷体" w:cs="楷体"/>
          <w:color w:val="333333"/>
          <w:kern w:val="0"/>
          <w:sz w:val="32"/>
          <w:szCs w:val="32"/>
          <w:shd w:val="clear" w:color="auto" w:fill="FFFFFF"/>
        </w:rPr>
        <w:t>（七）潍坊市生态环境局安丘分局本年度没有其他有关文件专门要求通过政府信息公开工作年度报告予以报告的事项。</w:t>
      </w:r>
    </w:p>
    <w:p>
      <w:pPr>
        <w:spacing w:line="560" w:lineRule="exact"/>
        <w:ind w:firstLine="640" w:firstLineChars="200"/>
        <w:rPr>
          <w:rFonts w:ascii="仿宋_GB2312" w:hAnsi="仿宋_GB2312" w:eastAsia="仿宋_GB2312" w:cs="仿宋_GB2312"/>
          <w:color w:val="333333"/>
          <w:kern w:val="0"/>
          <w:sz w:val="32"/>
          <w:szCs w:val="32"/>
          <w:shd w:val="clear" w:color="auto" w:fill="FFFFFF"/>
        </w:rPr>
      </w:pPr>
      <w:bookmarkStart w:id="0" w:name="_GoBack"/>
      <w:bookmarkEnd w:id="0"/>
    </w:p>
    <w:p>
      <w:pPr>
        <w:spacing w:line="560" w:lineRule="exact"/>
        <w:ind w:firstLine="3520" w:firstLineChars="1100"/>
        <w:rPr>
          <w:rFonts w:hint="eastAsia" w:ascii="仿宋_GB2312" w:hAnsi="仿宋_GB2312" w:eastAsia="仿宋_GB2312" w:cs="仿宋_GB2312"/>
          <w:color w:val="333333"/>
          <w:kern w:val="0"/>
          <w:sz w:val="32"/>
          <w:szCs w:val="32"/>
          <w:shd w:val="clear" w:color="auto" w:fill="FFFFFF"/>
          <w:lang w:val="en-US" w:eastAsia="zh-CN"/>
        </w:rPr>
      </w:pPr>
      <w:r>
        <w:rPr>
          <w:rFonts w:hint="eastAsia" w:ascii="仿宋_GB2312" w:hAnsi="仿宋_GB2312" w:eastAsia="仿宋_GB2312" w:cs="仿宋_GB2312"/>
          <w:color w:val="333333"/>
          <w:kern w:val="0"/>
          <w:sz w:val="32"/>
          <w:szCs w:val="32"/>
          <w:shd w:val="clear" w:color="auto" w:fill="FFFFFF"/>
          <w:lang w:val="en-US" w:eastAsia="zh-CN"/>
        </w:rPr>
        <w:t>潍坊市生态环境局安丘分局</w:t>
      </w:r>
    </w:p>
    <w:p>
      <w:pPr>
        <w:spacing w:line="560" w:lineRule="exact"/>
        <w:ind w:firstLine="4160" w:firstLineChars="1300"/>
        <w:rPr>
          <w:rFonts w:hint="default" w:ascii="仿宋_GB2312" w:hAnsi="仿宋_GB2312" w:eastAsia="仿宋_GB2312" w:cs="仿宋_GB2312"/>
          <w:color w:val="333333"/>
          <w:kern w:val="0"/>
          <w:sz w:val="32"/>
          <w:szCs w:val="32"/>
          <w:shd w:val="clear" w:color="auto" w:fill="FFFFFF"/>
          <w:lang w:val="en-US" w:eastAsia="zh-CN"/>
        </w:rPr>
      </w:pPr>
      <w:r>
        <w:rPr>
          <w:rFonts w:hint="eastAsia" w:ascii="仿宋_GB2312" w:hAnsi="仿宋_GB2312" w:eastAsia="仿宋_GB2312" w:cs="仿宋_GB2312"/>
          <w:color w:val="333333"/>
          <w:kern w:val="0"/>
          <w:sz w:val="32"/>
          <w:szCs w:val="32"/>
          <w:shd w:val="clear" w:color="auto" w:fill="FFFFFF"/>
          <w:lang w:val="en-US" w:eastAsia="zh-CN"/>
        </w:rPr>
        <w:t>2022年1月24日</w:t>
      </w: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B1"/>
    <w:rsid w:val="00020AAB"/>
    <w:rsid w:val="00022053"/>
    <w:rsid w:val="000B5D2A"/>
    <w:rsid w:val="000D3676"/>
    <w:rsid w:val="000F574C"/>
    <w:rsid w:val="002B294E"/>
    <w:rsid w:val="005817B1"/>
    <w:rsid w:val="005B2A68"/>
    <w:rsid w:val="00656BAB"/>
    <w:rsid w:val="006E63C4"/>
    <w:rsid w:val="00770F39"/>
    <w:rsid w:val="007E7D11"/>
    <w:rsid w:val="00800318"/>
    <w:rsid w:val="0090415A"/>
    <w:rsid w:val="00920024"/>
    <w:rsid w:val="00945569"/>
    <w:rsid w:val="00994533"/>
    <w:rsid w:val="00AA168D"/>
    <w:rsid w:val="00AA16B3"/>
    <w:rsid w:val="00CC11ED"/>
    <w:rsid w:val="00CD3A27"/>
    <w:rsid w:val="00E9609E"/>
    <w:rsid w:val="00F55AC6"/>
    <w:rsid w:val="00FD108B"/>
    <w:rsid w:val="00FE7E73"/>
    <w:rsid w:val="00FF0418"/>
    <w:rsid w:val="05286CFA"/>
    <w:rsid w:val="12E07D1F"/>
    <w:rsid w:val="13500F30"/>
    <w:rsid w:val="18053FFA"/>
    <w:rsid w:val="1D306665"/>
    <w:rsid w:val="2E4F7861"/>
    <w:rsid w:val="435A7603"/>
    <w:rsid w:val="464E2CF5"/>
    <w:rsid w:val="48E570BF"/>
    <w:rsid w:val="53126584"/>
    <w:rsid w:val="54EC4FDF"/>
    <w:rsid w:val="5B1C7F28"/>
    <w:rsid w:val="5DF25361"/>
    <w:rsid w:val="69E77BA9"/>
    <w:rsid w:val="787B5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szCs w:val="24"/>
    </w:rPr>
  </w:style>
  <w:style w:type="paragraph" w:styleId="3">
    <w:name w:val="annotation text"/>
    <w:basedOn w:val="1"/>
    <w:link w:val="15"/>
    <w:qFormat/>
    <w:uiPriority w:val="0"/>
    <w:pPr>
      <w:jc w:val="left"/>
    </w:pPr>
    <w:rPr>
      <w:rFonts w:ascii="Calibri" w:hAnsi="Calibri" w:eastAsia="宋体" w:cs="Times New Roman"/>
      <w:szCs w:val="24"/>
    </w:rPr>
  </w:style>
  <w:style w:type="paragraph" w:styleId="4">
    <w:name w:val="Balloon Text"/>
    <w:basedOn w:val="1"/>
    <w:link w:val="16"/>
    <w:qFormat/>
    <w:uiPriority w:val="0"/>
    <w:rPr>
      <w:rFonts w:ascii="Calibri" w:hAnsi="Calibri" w:eastAsia="宋体" w:cs="Times New Roman"/>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8">
    <w:name w:val="annotation subject"/>
    <w:basedOn w:val="3"/>
    <w:next w:val="3"/>
    <w:link w:val="18"/>
    <w:semiHidden/>
    <w:unhideWhenUsed/>
    <w:qFormat/>
    <w:uiPriority w:val="99"/>
    <w:rPr>
      <w:rFonts w:asciiTheme="minorHAnsi" w:hAnsiTheme="minorHAnsi" w:eastAsiaTheme="minorEastAsia" w:cstheme="minorBidi"/>
      <w:b/>
      <w:bCs/>
      <w:szCs w:val="22"/>
    </w:rPr>
  </w:style>
  <w:style w:type="character" w:styleId="11">
    <w:name w:val="Hyperlink"/>
    <w:basedOn w:val="10"/>
    <w:qFormat/>
    <w:uiPriority w:val="0"/>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文字 字符"/>
    <w:basedOn w:val="10"/>
    <w:link w:val="3"/>
    <w:qFormat/>
    <w:uiPriority w:val="0"/>
    <w:rPr>
      <w:rFonts w:ascii="Calibri" w:hAnsi="Calibri" w:eastAsia="宋体" w:cs="Times New Roman"/>
      <w:szCs w:val="24"/>
    </w:rPr>
  </w:style>
  <w:style w:type="character" w:customStyle="1" w:styleId="16">
    <w:name w:val="批注框文本 字符"/>
    <w:basedOn w:val="10"/>
    <w:link w:val="4"/>
    <w:qFormat/>
    <w:uiPriority w:val="0"/>
    <w:rPr>
      <w:rFonts w:ascii="Calibri" w:hAnsi="Calibri"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批注主题 字符"/>
    <w:basedOn w:val="15"/>
    <w:link w:val="8"/>
    <w:semiHidden/>
    <w:qFormat/>
    <w:uiPriority w:val="99"/>
    <w:rPr>
      <w:rFonts w:ascii="Calibri" w:hAnsi="Calibri" w:eastAsia="宋体" w:cs="Times New Roman"/>
      <w:b/>
      <w:bCs/>
      <w:szCs w:val="24"/>
    </w:rPr>
  </w:style>
  <w:style w:type="character" w:customStyle="1" w:styleId="19">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3679</Words>
  <Characters>3902</Characters>
  <Lines>28</Lines>
  <Paragraphs>8</Paragraphs>
  <TotalTime>24</TotalTime>
  <ScaleCrop>false</ScaleCrop>
  <LinksUpToDate>false</LinksUpToDate>
  <CharactersWithSpaces>4076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2022-01-19T00:44:00Z</dcterms:created>
  <dc:creator>tx</dc:creator>
  <cp:lastModifiedBy>探戈さん</cp:lastModifiedBy>
  <dcterms:modified xsi:type="dcterms:W3CDTF">2022-03-02T09:06:33Z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78ED7917DA4D448991B2598895F66695</vt:lpwstr>
  </property>
</Properties>
</file>