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安丘市房产服务中心</w:t>
      </w:r>
    </w:p>
    <w:p>
      <w:pPr>
        <w:widowControl/>
        <w:shd w:val="clear" w:color="auto" w:fill="FFFFFF"/>
        <w:spacing w:line="560" w:lineRule="exact"/>
        <w:jc w:val="center"/>
        <w:rPr>
          <w:rFonts w:hint="eastAsia" w:ascii="方正小标宋简体" w:hAnsi="方正小标宋简体" w:eastAsia="方正小标宋简体" w:cs="方正小标宋简体"/>
          <w:color w:val="333333"/>
          <w:kern w:val="0"/>
          <w:sz w:val="24"/>
          <w:szCs w:val="24"/>
        </w:rPr>
      </w:pPr>
      <w:r>
        <w:rPr>
          <w:rFonts w:hint="eastAsia" w:ascii="方正小标宋简体" w:hAnsi="方正小标宋简体" w:eastAsia="方正小标宋简体" w:cs="方正小标宋简体"/>
          <w:color w:val="333333"/>
          <w:kern w:val="0"/>
          <w:sz w:val="44"/>
          <w:szCs w:val="44"/>
          <w:shd w:val="clear" w:color="auto" w:fill="FFFFFF"/>
        </w:rPr>
        <w:t>2020年政府信息公开工作年度报告</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下简称《条例》）和《安丘市人民政府办公室关于做好2020年政府信息公开工作年度报告编制发布和报送工作的通知》要求，结合我中心工作实际，编制安丘市房产服务中心2020年度信息公开年度报告并向社会公布。本年度报告中所列数据的统计期限自2020年1月1日起至2020年12月31日止。</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报告的电子版可在安丘市政府信息公开门户网站(http://xxgk.anqiu.gov.cn)下载</w:t>
      </w:r>
      <w:r>
        <w:rPr>
          <w:rFonts w:hint="eastAsia" w:ascii="仿宋_GB2312" w:hAnsi="仿宋_GB2312" w:eastAsia="仿宋_GB2312" w:cs="仿宋_GB2312"/>
          <w:sz w:val="32"/>
          <w:szCs w:val="32"/>
        </w:rPr>
        <w:t>查看</w:t>
      </w:r>
      <w:r>
        <w:rPr>
          <w:rFonts w:ascii="仿宋_GB2312" w:hAnsi="仿宋_GB2312" w:eastAsia="仿宋_GB2312" w:cs="仿宋_GB2312"/>
          <w:sz w:val="32"/>
          <w:szCs w:val="32"/>
        </w:rPr>
        <w:t>。如对本</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报告有任何疑问，请与安丘市</w:t>
      </w:r>
      <w:r>
        <w:rPr>
          <w:rFonts w:hint="eastAsia" w:ascii="仿宋_GB2312" w:hAnsi="仿宋_GB2312" w:eastAsia="仿宋_GB2312" w:cs="仿宋_GB2312"/>
          <w:sz w:val="32"/>
          <w:szCs w:val="32"/>
        </w:rPr>
        <w:t>房产服务中心</w:t>
      </w:r>
      <w:r>
        <w:rPr>
          <w:rFonts w:ascii="仿宋_GB2312" w:hAnsi="仿宋_GB2312" w:eastAsia="仿宋_GB2312" w:cs="仿宋_GB2312"/>
          <w:sz w:val="32"/>
          <w:szCs w:val="32"/>
        </w:rPr>
        <w:t>办公室联系(联系地址：安丘市</w:t>
      </w:r>
      <w:r>
        <w:rPr>
          <w:rFonts w:hint="eastAsia" w:ascii="仿宋_GB2312" w:hAnsi="仿宋_GB2312" w:eastAsia="仿宋_GB2312" w:cs="仿宋_GB2312"/>
          <w:sz w:val="32"/>
          <w:szCs w:val="32"/>
        </w:rPr>
        <w:t>农产品安全综合监管大楼908室</w:t>
      </w:r>
      <w:r>
        <w:rPr>
          <w:rFonts w:ascii="仿宋_GB2312" w:hAnsi="仿宋_GB2312" w:eastAsia="仿宋_GB2312" w:cs="仿宋_GB2312"/>
          <w:sz w:val="32"/>
          <w:szCs w:val="32"/>
        </w:rPr>
        <w:t>，邮编：262100，电话：0536-4</w:t>
      </w:r>
      <w:r>
        <w:rPr>
          <w:rFonts w:hint="eastAsia" w:ascii="仿宋_GB2312" w:hAnsi="仿宋_GB2312" w:eastAsia="仿宋_GB2312" w:cs="仿宋_GB2312"/>
          <w:sz w:val="32"/>
          <w:szCs w:val="32"/>
        </w:rPr>
        <w:t>223235，电子邮箱：fgzxbgs@wf.shandong.cn</w:t>
      </w:r>
      <w:r>
        <w:rPr>
          <w:rFonts w:ascii="仿宋_GB2312" w:hAnsi="仿宋_GB2312" w:eastAsia="仿宋_GB2312" w:cs="仿宋_GB2312"/>
          <w:sz w:val="32"/>
          <w:szCs w:val="32"/>
        </w:rPr>
        <w:t>)。</w:t>
      </w:r>
    </w:p>
    <w:p>
      <w:pPr>
        <w:widowControl/>
        <w:shd w:val="clear" w:color="auto" w:fill="FFFFFF"/>
        <w:spacing w:line="560" w:lineRule="exact"/>
        <w:ind w:firstLine="64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一、总体情况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安丘市房产服务中心认真贯彻《条例》，以及省、市关于政府信息公开工作的部署要求，将政府信息公开工作与日常的信息工作、电子政务工作相结合，做到有专门工作人员承办，责任到人，层层落实。坚持“公开为常态，不公开为例外”的原则，严格按照“五公开”要求，加大决策、执行、管理、服务、结果信息公开力度，进一步加强依申请公开、政策解读、回应社会关切、重点领域信息公开、政府信息管理、平台建设管理，进一步丰富公开形式，提升政府信息公开工作力度和实效，依法保障了公众的知情权、参与权和监督权，全面提升政府信息公开制度化、标准化、信息化建设水平。</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（一）主动公开情况。</w:t>
      </w:r>
      <w:r>
        <w:rPr>
          <w:rFonts w:hint="eastAsia" w:ascii="仿宋_GB2312" w:hAnsi="仿宋_GB2312" w:eastAsia="仿宋_GB2312" w:cs="仿宋_GB2312"/>
          <w:sz w:val="32"/>
          <w:szCs w:val="32"/>
        </w:rPr>
        <w:t>坚持依法公开的原则，截至2020年12月31日，共主动公开信息34条，其中公开重点领域信息18条，工作动态信息3条，政策文件及解读1条，财政审计信息（包括预决算信息）1条，“五公开”信息2条，人大建议提案7条，其他信息2条。与往年相比，2020年我中心政府信息公开质量有明显提升，信息公开形式逐渐丰富多样化，加强了平台建设，方便社会各界进一步了解、关心和支持房产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1.及时公开机构概况。</w:t>
      </w:r>
      <w:r>
        <w:rPr>
          <w:rFonts w:ascii="仿宋_GB2312" w:hAnsi="仿宋_GB2312" w:eastAsia="仿宋_GB2312" w:cs="仿宋_GB2312"/>
          <w:sz w:val="32"/>
          <w:szCs w:val="32"/>
        </w:rPr>
        <w:t>根据《条例》第二十条第（二）款要求，在机构改革完成后，第一时间更新机关职能、机构设置、办公地址、办公时间、联系方式、负责人姓名，并在市政府网站公布。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125095</wp:posOffset>
            </wp:positionH>
            <wp:positionV relativeFrom="paragraph">
              <wp:posOffset>117475</wp:posOffset>
            </wp:positionV>
            <wp:extent cx="5543550" cy="2876550"/>
            <wp:effectExtent l="19050" t="0" r="0" b="0"/>
            <wp:wrapSquare wrapText="bothSides"/>
            <wp:docPr id="20" name="图片 1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1.jpg"/>
                    <pic:cNvPicPr>
                      <a:picLocks noChangeAspect="1"/>
                    </pic:cNvPicPr>
                  </pic:nvPicPr>
                  <pic:blipFill>
                    <a:blip r:embed="rId4" cstate="print"/>
                    <a:stretch>
                      <a:fillRect/>
                    </a:stretch>
                  </pic:blipFill>
                  <pic:spPr>
                    <a:xfrm>
                      <a:off x="0" y="0"/>
                      <a:ext cx="5543550" cy="2876550"/>
                    </a:xfrm>
                    <a:prstGeom prst="rect">
                      <a:avLst/>
                    </a:prstGeom>
                  </pic:spPr>
                </pic:pic>
              </a:graphicData>
            </a:graphic>
          </wp:anchor>
        </w:drawing>
      </w:r>
      <w:r>
        <w:rPr>
          <w:rFonts w:hint="eastAsia" w:ascii="仿宋_GB2312" w:hAnsi="仿宋_GB2312" w:eastAsia="仿宋_GB2312" w:cs="仿宋_GB2312"/>
          <w:sz w:val="32"/>
          <w:szCs w:val="32"/>
        </w:rPr>
        <w:t>2.及时公开财政审计信息。2月份公开2020年安丘市房产服务中心部门预算，9月份公开2019年安丘市房产服务中心部门决算。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3.推进重点领域信息公开。一是公开财政审计信息；二是公开保障性住房信息。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4.加强政策解读信息公开。</w:t>
      </w:r>
      <w:r>
        <w:rPr>
          <w:rFonts w:ascii="仿宋_GB2312" w:hAnsi="仿宋_GB2312" w:eastAsia="仿宋_GB2312" w:cs="仿宋_GB2312"/>
          <w:sz w:val="32"/>
          <w:szCs w:val="32"/>
        </w:rPr>
        <w:t>按照“谁起草、谁解读”的原则，同步制定发布政策解读文件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参加“行风</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线”</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次，就重大政策文件和社会公众关注的问题进行深入解读。</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（二）依申请公开。</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1.依申请公开情况。</w:t>
      </w:r>
      <w:r>
        <w:rPr>
          <w:rFonts w:hint="eastAsia" w:ascii="仿宋_GB2312" w:hAnsi="仿宋_GB2312" w:eastAsia="仿宋_GB2312" w:cs="仿宋_GB2312"/>
          <w:sz w:val="32"/>
          <w:szCs w:val="32"/>
        </w:rPr>
        <w:t>2020年，我中心未收到政府信息公开。</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申请行政复议、提起行政诉讼情况。全年未发生因政府信息公开被行政复议、提起行政诉讼情况。</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（三）平台建设情况。</w:t>
      </w:r>
      <w:r>
        <w:rPr>
          <w:rFonts w:hint="eastAsia" w:ascii="仿宋_GB2312" w:hAnsi="仿宋_GB2312" w:eastAsia="仿宋_GB2312" w:cs="仿宋_GB2312"/>
          <w:sz w:val="32"/>
          <w:szCs w:val="32"/>
        </w:rPr>
        <w:t>健全政务舆情收集、研判和回应机制，主动回应重大舆论关切，快速反应、及时发声。利用市政府门户网站公众参与系统，加强与群众沟通交流，及时解答群众疑问。</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（四）政府信息管理情况。</w:t>
      </w:r>
      <w:r>
        <w:rPr>
          <w:rFonts w:hint="eastAsia" w:ascii="仿宋_GB2312" w:hAnsi="仿宋_GB2312" w:eastAsia="仿宋_GB2312" w:cs="仿宋_GB2312"/>
          <w:sz w:val="32"/>
          <w:szCs w:val="32"/>
        </w:rPr>
        <w:t>加强门户网站信息发布与管理工作，严格按照要求对属于主动公开范围的政府信息，在该政府信息形成或者变更之日起20个工作日内予以公开，做到及时、全面、高效。完善定期督查制度，围绕“五公开”、政策解读等重点工作，加强政务公开工作培训力度，采取抽查和听取汇报等方式，对政务公开工作推进情况进行督查。</w:t>
      </w:r>
      <w:r>
        <w:rPr>
          <w:rFonts w:ascii="仿宋_GB2312" w:hAnsi="仿宋_GB2312" w:eastAsia="仿宋_GB2312" w:cs="仿宋_GB2312"/>
          <w:sz w:val="32"/>
          <w:szCs w:val="32"/>
        </w:rPr>
        <w:t>严格做好公开信息保密审查。认真落实《中华人民共和国保守国家秘密法》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《中华人民共和国政府信息公开条例》等规定，按照“先审查、后公开”的原则，严格做好政府信息公开保密审查，确保公开信息不涉密、涉密信息不公开。</w:t>
      </w:r>
    </w:p>
    <w:p>
      <w:pPr>
        <w:spacing w:line="560" w:lineRule="exact"/>
        <w:ind w:firstLine="640" w:firstLineChars="200"/>
        <w:rPr>
          <w:rFonts w:ascii="楷体_GB2312" w:hAnsi="仿宋_GB2312" w:eastAsia="楷体_GB2312" w:cs="仿宋_GB2312"/>
          <w:sz w:val="32"/>
          <w:szCs w:val="32"/>
        </w:rPr>
      </w:pPr>
      <w:r>
        <w:rPr>
          <w:rFonts w:ascii="楷体_GB2312" w:hAnsi="仿宋_GB2312" w:eastAsia="楷体_GB2312" w:cs="仿宋_GB2312"/>
          <w:sz w:val="32"/>
          <w:szCs w:val="32"/>
        </w:rPr>
        <w:t>（五）机构建设及人员配置情况。</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按照机构改革要求，结合内部科室调整情况，及时调整</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系统政务公开领导小组，确定分管负责人，全面负责做好</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机关政府信息公开管理工作，办公室为信息公开工作机构，并安排专人具体负责，同时，</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内各科室也将信息公开工作作为日常工作的规定动作，适合公开发布的信息及时主动报送办公室，确保信息准确性和时效性。</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（六）监督保障情况。</w:t>
      </w:r>
      <w:r>
        <w:rPr>
          <w:rFonts w:hint="eastAsia" w:ascii="仿宋_GB2312" w:hAnsi="仿宋_GB2312" w:eastAsia="仿宋_GB2312" w:cs="仿宋_GB2312"/>
          <w:sz w:val="32"/>
          <w:szCs w:val="32"/>
        </w:rPr>
        <w:t>进一步完善公开机制，制定《安丘市房产服务中心2020年政务公开重点工作任务分工》和《安丘市房产服务中心2020年主动公开基本目录，》将公开事项落实到各科室，明确各自职责，政务公开领导小组办公室负责全中心政务公开工作的组织、推进、指导、协调等工作，安排专人负责督促落实工作。将信息公开工作作为机关科室和中心年度考核和评先树优的重要内容，对工作落实不到位的科室和个人，依法依规追究相关责任。</w:t>
      </w:r>
      <w:r>
        <w:rPr>
          <w:rFonts w:ascii="仿宋_GB2312" w:hAnsi="仿宋_GB2312" w:eastAsia="仿宋_GB2312" w:cs="仿宋_GB2312"/>
          <w:sz w:val="32"/>
          <w:szCs w:val="32"/>
        </w:rPr>
        <w:t>抓好队伍培训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积极参加市政府组织的政府信息公开工作会议和业务培训，主动对各科室单位政府信息公开工作负责人进行培训，切实提高对政府信息公开工作的认识水平和工作能力。</w:t>
      </w:r>
    </w:p>
    <w:p>
      <w:pPr>
        <w:spacing w:line="560" w:lineRule="exact"/>
        <w:ind w:firstLine="640" w:firstLineChars="200"/>
        <w:rPr>
          <w:rFonts w:ascii="仿宋_GB2312" w:hAnsi="Calibri" w:eastAsia="仿宋_GB2312" w:cs="Times New Roman"/>
          <w:color w:val="333333"/>
          <w:sz w:val="32"/>
          <w:szCs w:val="32"/>
          <w:shd w:val="clear" w:color="auto" w:fill="FFFFFF"/>
        </w:rPr>
      </w:pPr>
      <w:r>
        <w:rPr>
          <w:rFonts w:hint="eastAsia" w:ascii="楷体_GB2312" w:hAnsi="仿宋_GB2312" w:eastAsia="楷体_GB2312" w:cs="仿宋_GB2312"/>
          <w:sz w:val="32"/>
          <w:szCs w:val="32"/>
        </w:rPr>
        <w:t>（</w:t>
      </w:r>
      <w:r>
        <w:rPr>
          <w:rFonts w:hint="eastAsia" w:ascii="楷体_GB2312" w:hAnsi="仿宋_GB2312" w:eastAsia="楷体_GB2312" w:cs="仿宋_GB2312"/>
          <w:sz w:val="32"/>
          <w:szCs w:val="32"/>
          <w:lang w:val="en-US" w:eastAsia="zh-CN"/>
        </w:rPr>
        <w:t>七</w:t>
      </w:r>
      <w:r>
        <w:rPr>
          <w:rFonts w:hint="eastAsia" w:ascii="楷体_GB2312" w:hAnsi="仿宋_GB2312" w:eastAsia="楷体_GB2312" w:cs="仿宋_GB2312"/>
          <w:sz w:val="32"/>
          <w:szCs w:val="32"/>
        </w:rPr>
        <w:t>）工作考核、社会评议和责任追究结果情况。</w:t>
      </w:r>
      <w:r>
        <w:rPr>
          <w:rFonts w:hint="eastAsia" w:ascii="仿宋_GB2312" w:hAnsi="Calibri" w:eastAsia="仿宋_GB2312" w:cs="Times New Roman"/>
          <w:color w:val="333333"/>
          <w:sz w:val="32"/>
          <w:szCs w:val="32"/>
          <w:shd w:val="clear" w:color="auto" w:fill="FFFFFF"/>
        </w:rPr>
        <w:t>1.建立考核通报制度。接受安丘市政府办公室对我中心政务信息公开情况的监督考核，及时做好主动公开工作，认真开展公开工作不到位内容的改进工作。我中心根据要求，建立政务公开考核制度，由中心办公室牵头定期、不定期对各单位、科室政务公开工作进行监督，发现问题及时督促相关科室限时整改，整改工作及时反馈中心领导，保证政务公开信息的时效性与准确性。2.主动听取社会公众意见。一是对于需要向社会进行意见征集的，及时通过市政府网站进行公示，并注明联系电话和邮箱，积极主动听取社会公众的意见与建议。二是认真参与政府开放日，并通过《行风在线》等渠道，对群众诉求进行及时反馈。3.责任追究结果情况。2020年我中心未出现因信息公开不到位需要进行责任追究的情况。</w:t>
      </w:r>
    </w:p>
    <w:p>
      <w:pPr>
        <w:widowControl/>
        <w:shd w:val="clear" w:color="auto" w:fill="FFFFFF"/>
        <w:spacing w:line="560" w:lineRule="exact"/>
        <w:ind w:firstLine="64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二、主动公开政府信息情况</w:t>
      </w:r>
    </w:p>
    <w:tbl>
      <w:tblPr>
        <w:tblStyle w:val="6"/>
        <w:tblW w:w="9135" w:type="dxa"/>
        <w:jc w:val="center"/>
        <w:shd w:val="clear" w:color="auto" w:fill="FFFFFF"/>
        <w:tblLayout w:type="autofit"/>
        <w:tblCellMar>
          <w:top w:w="0" w:type="dxa"/>
          <w:left w:w="0" w:type="dxa"/>
          <w:bottom w:w="0" w:type="dxa"/>
          <w:right w:w="0" w:type="dxa"/>
        </w:tblCellMar>
      </w:tblPr>
      <w:tblGrid>
        <w:gridCol w:w="3141"/>
        <w:gridCol w:w="240"/>
        <w:gridCol w:w="2146"/>
        <w:gridCol w:w="1544"/>
        <w:gridCol w:w="2064"/>
      </w:tblGrid>
      <w:tr>
        <w:tblPrEx>
          <w:shd w:val="clear" w:color="auto" w:fill="FFFFFF"/>
          <w:tblCellMar>
            <w:top w:w="0" w:type="dxa"/>
            <w:left w:w="0" w:type="dxa"/>
            <w:bottom w:w="0" w:type="dxa"/>
            <w:right w:w="0" w:type="dxa"/>
          </w:tblCellMar>
        </w:tblPrEx>
        <w:trPr>
          <w:trHeight w:val="800" w:hRule="atLeast"/>
          <w:jc w:val="center"/>
        </w:trPr>
        <w:tc>
          <w:tcPr>
            <w:tcW w:w="913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第二十条第（一）项</w:t>
            </w:r>
          </w:p>
        </w:tc>
      </w:tr>
      <w:tr>
        <w:tblPrEx>
          <w:shd w:val="clear" w:color="auto" w:fill="FFFFFF"/>
          <w:tblCellMar>
            <w:top w:w="0" w:type="dxa"/>
            <w:left w:w="0" w:type="dxa"/>
            <w:bottom w:w="0" w:type="dxa"/>
            <w:right w:w="0" w:type="dxa"/>
          </w:tblCellMar>
        </w:tblPrEx>
        <w:trPr>
          <w:trHeight w:val="1166"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本年新制作数量</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w:t>
            </w:r>
            <w:r>
              <w:rPr>
                <w:rFonts w:hint="eastAsia" w:ascii="微软雅黑" w:hAnsi="微软雅黑" w:eastAsia="微软雅黑" w:cs="宋体"/>
                <w:color w:val="333333"/>
                <w:kern w:val="0"/>
                <w:sz w:val="24"/>
                <w:szCs w:val="24"/>
              </w:rPr>
              <w:br w:type="textWrapping"/>
            </w:r>
            <w:r>
              <w:rPr>
                <w:rFonts w:hint="eastAsia" w:ascii="宋体" w:hAnsi="宋体" w:eastAsia="宋体" w:cs="宋体"/>
                <w:color w:val="000000"/>
                <w:kern w:val="0"/>
                <w:sz w:val="24"/>
                <w:szCs w:val="24"/>
              </w:rPr>
              <w:t>公开数量</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对外公开</w:t>
            </w:r>
          </w:p>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总数量</w:t>
            </w:r>
          </w:p>
        </w:tc>
      </w:tr>
      <w:tr>
        <w:tblPrEx>
          <w:shd w:val="clear" w:color="auto" w:fill="FFFFFF"/>
          <w:tblCellMar>
            <w:top w:w="0" w:type="dxa"/>
            <w:left w:w="0" w:type="dxa"/>
            <w:bottom w:w="0" w:type="dxa"/>
            <w:right w:w="0" w:type="dxa"/>
          </w:tblCellMar>
        </w:tblPrEx>
        <w:trPr>
          <w:trHeight w:val="539"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规章</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shd w:val="clear" w:color="auto" w:fill="FFFFFF"/>
          <w:tblCellMar>
            <w:top w:w="0" w:type="dxa"/>
            <w:left w:w="0" w:type="dxa"/>
            <w:bottom w:w="0" w:type="dxa"/>
            <w:right w:w="0" w:type="dxa"/>
          </w:tblCellMar>
        </w:tblPrEx>
        <w:trPr>
          <w:trHeight w:val="543"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规范性文件</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shd w:val="clear" w:color="auto" w:fill="FFFFFF"/>
          <w:tblCellMar>
            <w:top w:w="0" w:type="dxa"/>
            <w:left w:w="0" w:type="dxa"/>
            <w:bottom w:w="0" w:type="dxa"/>
            <w:right w:w="0" w:type="dxa"/>
          </w:tblCellMar>
        </w:tblPrEx>
        <w:trPr>
          <w:trHeight w:val="647"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第二十条第（五）项</w:t>
            </w:r>
          </w:p>
        </w:tc>
      </w:tr>
      <w:tr>
        <w:tblPrEx>
          <w:shd w:val="clear" w:color="auto" w:fill="FFFFFF"/>
          <w:tblCellMar>
            <w:top w:w="0" w:type="dxa"/>
            <w:left w:w="0" w:type="dxa"/>
            <w:bottom w:w="0" w:type="dxa"/>
            <w:right w:w="0" w:type="dxa"/>
          </w:tblCellMar>
        </w:tblPrEx>
        <w:trPr>
          <w:trHeight w:val="695"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shd w:val="clear" w:color="auto" w:fill="FFFFFF"/>
          <w:tblCellMar>
            <w:top w:w="0" w:type="dxa"/>
            <w:left w:w="0" w:type="dxa"/>
            <w:bottom w:w="0" w:type="dxa"/>
            <w:right w:w="0" w:type="dxa"/>
          </w:tblCellMar>
        </w:tblPrEx>
        <w:trPr>
          <w:trHeight w:val="612"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行政许可</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shd w:val="clear" w:color="auto" w:fill="FFFFFF"/>
          <w:tblCellMar>
            <w:top w:w="0" w:type="dxa"/>
            <w:left w:w="0" w:type="dxa"/>
            <w:bottom w:w="0" w:type="dxa"/>
            <w:right w:w="0" w:type="dxa"/>
          </w:tblCellMar>
        </w:tblPrEx>
        <w:trPr>
          <w:trHeight w:val="740"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其他对外管理服务事项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shd w:val="clear" w:color="auto" w:fill="FFFFFF"/>
          <w:tblCellMar>
            <w:top w:w="0" w:type="dxa"/>
            <w:left w:w="0" w:type="dxa"/>
            <w:bottom w:w="0" w:type="dxa"/>
            <w:right w:w="0" w:type="dxa"/>
          </w:tblCellMar>
        </w:tblPrEx>
        <w:trPr>
          <w:trHeight w:val="669"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第二十条第（六）项</w:t>
            </w:r>
          </w:p>
        </w:tc>
      </w:tr>
      <w:tr>
        <w:tblPrEx>
          <w:shd w:val="clear" w:color="auto" w:fill="FFFFFF"/>
          <w:tblCellMar>
            <w:top w:w="0" w:type="dxa"/>
            <w:left w:w="0" w:type="dxa"/>
            <w:bottom w:w="0" w:type="dxa"/>
            <w:right w:w="0" w:type="dxa"/>
          </w:tblCellMar>
        </w:tblPrEx>
        <w:trPr>
          <w:trHeight w:val="736"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shd w:val="clear" w:color="auto" w:fill="FFFFFF"/>
          <w:tblCellMar>
            <w:top w:w="0" w:type="dxa"/>
            <w:left w:w="0" w:type="dxa"/>
            <w:bottom w:w="0" w:type="dxa"/>
            <w:right w:w="0" w:type="dxa"/>
          </w:tblCellMar>
        </w:tblPrEx>
        <w:trPr>
          <w:trHeight w:val="580"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行政处罚</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shd w:val="clear" w:color="auto" w:fill="FFFFFF"/>
          <w:tblCellMar>
            <w:top w:w="0" w:type="dxa"/>
            <w:left w:w="0" w:type="dxa"/>
            <w:bottom w:w="0" w:type="dxa"/>
            <w:right w:w="0" w:type="dxa"/>
          </w:tblCellMar>
        </w:tblPrEx>
        <w:trPr>
          <w:trHeight w:val="552"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行政强制</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shd w:val="clear" w:color="auto" w:fill="FFFFFF"/>
          <w:tblCellMar>
            <w:top w:w="0" w:type="dxa"/>
            <w:left w:w="0" w:type="dxa"/>
            <w:bottom w:w="0" w:type="dxa"/>
            <w:right w:w="0" w:type="dxa"/>
          </w:tblCellMar>
        </w:tblPrEx>
        <w:trPr>
          <w:trHeight w:val="638"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第二十条第（八）项</w:t>
            </w:r>
          </w:p>
        </w:tc>
      </w:tr>
      <w:tr>
        <w:tblPrEx>
          <w:shd w:val="clear" w:color="auto" w:fill="FFFFFF"/>
          <w:tblCellMar>
            <w:top w:w="0" w:type="dxa"/>
            <w:left w:w="0" w:type="dxa"/>
            <w:bottom w:w="0" w:type="dxa"/>
            <w:right w:w="0" w:type="dxa"/>
          </w:tblCellMar>
        </w:tblPrEx>
        <w:trPr>
          <w:trHeight w:val="602"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r>
      <w:tr>
        <w:tblPrEx>
          <w:shd w:val="clear" w:color="auto" w:fill="FFFFFF"/>
          <w:tblCellMar>
            <w:top w:w="0" w:type="dxa"/>
            <w:left w:w="0" w:type="dxa"/>
            <w:bottom w:w="0" w:type="dxa"/>
            <w:right w:w="0" w:type="dxa"/>
          </w:tblCellMar>
        </w:tblPrEx>
        <w:trPr>
          <w:trHeight w:val="593"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行政事业性收费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640"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第二十条第（九）项</w:t>
            </w:r>
          </w:p>
        </w:tc>
      </w:tr>
      <w:tr>
        <w:tblPrEx>
          <w:tblCellMar>
            <w:top w:w="0" w:type="dxa"/>
            <w:left w:w="0" w:type="dxa"/>
            <w:bottom w:w="0" w:type="dxa"/>
            <w:right w:w="0" w:type="dxa"/>
          </w:tblCellMar>
        </w:tblPrEx>
        <w:trPr>
          <w:trHeight w:val="574" w:hRule="atLeast"/>
          <w:jc w:val="center"/>
        </w:trPr>
        <w:tc>
          <w:tcPr>
            <w:tcW w:w="33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1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采购项目数量</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采购总金额</w:t>
            </w:r>
          </w:p>
        </w:tc>
      </w:tr>
      <w:tr>
        <w:tblPrEx>
          <w:tblCellMar>
            <w:top w:w="0" w:type="dxa"/>
            <w:left w:w="0" w:type="dxa"/>
            <w:bottom w:w="0" w:type="dxa"/>
            <w:right w:w="0" w:type="dxa"/>
          </w:tblCellMar>
        </w:tblPrEx>
        <w:trPr>
          <w:trHeight w:val="631" w:hRule="atLeast"/>
          <w:jc w:val="center"/>
        </w:trPr>
        <w:tc>
          <w:tcPr>
            <w:tcW w:w="33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政府集中采购</w:t>
            </w:r>
          </w:p>
        </w:tc>
        <w:tc>
          <w:tcPr>
            <w:tcW w:w="21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bl>
    <w:p>
      <w:pPr>
        <w:widowControl/>
        <w:shd w:val="clear" w:color="auto" w:fill="FFFFFF"/>
        <w:spacing w:line="560" w:lineRule="exact"/>
        <w:ind w:left="-199" w:firstLine="62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三、收到和处理政府信息公开申请情况</w:t>
      </w:r>
    </w:p>
    <w:tbl>
      <w:tblPr>
        <w:tblStyle w:val="6"/>
        <w:tblW w:w="9075" w:type="dxa"/>
        <w:jc w:val="center"/>
        <w:tblLayout w:type="autofit"/>
        <w:tblCellMar>
          <w:top w:w="0" w:type="dxa"/>
          <w:left w:w="0" w:type="dxa"/>
          <w:bottom w:w="0" w:type="dxa"/>
          <w:right w:w="0" w:type="dxa"/>
        </w:tblCellMar>
      </w:tblPr>
      <w:tblGrid>
        <w:gridCol w:w="616"/>
        <w:gridCol w:w="1404"/>
        <w:gridCol w:w="2793"/>
        <w:gridCol w:w="842"/>
        <w:gridCol w:w="563"/>
        <w:gridCol w:w="563"/>
        <w:gridCol w:w="563"/>
        <w:gridCol w:w="563"/>
        <w:gridCol w:w="537"/>
        <w:gridCol w:w="631"/>
      </w:tblGrid>
      <w:tr>
        <w:tblPrEx>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（本列数据的勾稽关系为：第一项加第二项之和，</w:t>
            </w:r>
          </w:p>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申请人情况</w:t>
            </w:r>
          </w:p>
        </w:tc>
      </w:tr>
      <w:tr>
        <w:tblPrEx>
          <w:tblCellMar>
            <w:top w:w="0" w:type="dxa"/>
            <w:left w:w="0" w:type="dxa"/>
            <w:bottom w:w="0" w:type="dxa"/>
            <w:right w:w="0"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8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自然人</w:t>
            </w:r>
          </w:p>
        </w:tc>
        <w:tc>
          <w:tcPr>
            <w:tcW w:w="280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法人或其他组织</w:t>
            </w:r>
          </w:p>
        </w:tc>
        <w:tc>
          <w:tcPr>
            <w:tcW w:w="6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总计</w:t>
            </w:r>
          </w:p>
        </w:tc>
      </w:tr>
      <w:tr>
        <w:tblPrEx>
          <w:tblCellMar>
            <w:top w:w="0" w:type="dxa"/>
            <w:left w:w="0" w:type="dxa"/>
            <w:bottom w:w="0" w:type="dxa"/>
            <w:right w:w="0"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商业企业</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科研机构</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社会公益组织</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法律服务机构</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63" w:right="-13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r>
      <w:tr>
        <w:tblPrEx>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一、本年新收政府信息公开申请数量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二、上年结转政府信息公开申请数量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三、本年度办理结果</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（一）予以公开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（三）不予公开</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1.属于国家秘密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2.其他法律行政法规禁止公开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3.危及“三安全一稳定”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4.保护第三方合法权益</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5.属于三类内部事务信息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6.属于四类过程性信息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7.属于行政执法案卷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8.属于行政查询事项</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（四）无法提供</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1.本机关不掌握相关政府信息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2.没有现成信息需要另行制作</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3.补正后申请内容仍不明确</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（五）不予处理</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1.信访举报投诉类申请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2.重复申请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3.要求提供公开出版物</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4.无正当理由大量反复申请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5.要求行政机关确认或重新</w:t>
            </w:r>
          </w:p>
          <w:p>
            <w:pPr>
              <w:widowControl/>
              <w:spacing w:line="560" w:lineRule="exact"/>
              <w:ind w:firstLine="20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出具已获取信息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（六）其他处理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（七）总计</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四、结转下年度继续办理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bl>
    <w:p>
      <w:pPr>
        <w:widowControl/>
        <w:shd w:val="clear" w:color="auto" w:fill="FFFFFF"/>
        <w:spacing w:line="560" w:lineRule="exact"/>
        <w:ind w:firstLine="42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四、政府信息公开行政复议、行政诉讼情况</w:t>
      </w:r>
    </w:p>
    <w:tbl>
      <w:tblPr>
        <w:tblStyle w:val="6"/>
        <w:tblW w:w="9075"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6"/>
        <w:gridCol w:w="606"/>
        <w:gridCol w:w="607"/>
        <w:gridCol w:w="607"/>
      </w:tblGrid>
      <w:tr>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行政诉讼</w:t>
            </w:r>
          </w:p>
        </w:tc>
      </w:tr>
      <w:tr>
        <w:tblPrEx>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560" w:lineRule="exac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43" w:right="-132"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82" w:right="-9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560" w:lineRule="exac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w:t>
            </w:r>
          </w:p>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复议后起诉</w:t>
            </w:r>
          </w:p>
        </w:tc>
      </w:tr>
      <w:tr>
        <w:tblPrEx>
          <w:tblCellMar>
            <w:top w:w="0" w:type="dxa"/>
            <w:left w:w="0" w:type="dxa"/>
            <w:bottom w:w="0" w:type="dxa"/>
            <w:right w:w="0"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5" w:right="-12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86" w:right="-8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p>
            <w:pPr>
              <w:widowControl/>
              <w:spacing w:line="560" w:lineRule="exac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560" w:lineRule="exac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99" w:right="-7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560" w:lineRule="exac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其他</w:t>
            </w:r>
          </w:p>
          <w:p>
            <w:pPr>
              <w:widowControl/>
              <w:spacing w:line="560" w:lineRule="exac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67" w:right="-105" w:hanging="2"/>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r>
    </w:tbl>
    <w:p>
      <w:pPr>
        <w:widowControl/>
        <w:shd w:val="clear" w:color="auto" w:fill="FFFFFF"/>
        <w:spacing w:line="560" w:lineRule="exact"/>
        <w:ind w:firstLine="420"/>
        <w:rPr>
          <w:rFonts w:ascii="黑体" w:hAnsi="黑体" w:eastAsia="黑体" w:cs="宋体"/>
          <w:color w:val="333333"/>
          <w:kern w:val="0"/>
          <w:sz w:val="32"/>
          <w:szCs w:val="32"/>
          <w:shd w:val="clear" w:color="auto" w:fill="FFFFFF"/>
        </w:rPr>
      </w:pPr>
      <w:r>
        <w:rPr>
          <w:rFonts w:hint="eastAsia" w:ascii="黑体" w:hAnsi="黑体" w:eastAsia="黑体" w:cs="宋体"/>
          <w:color w:val="333333"/>
          <w:kern w:val="0"/>
          <w:sz w:val="32"/>
          <w:szCs w:val="32"/>
          <w:shd w:val="clear" w:color="auto" w:fill="FFFFFF"/>
        </w:rPr>
        <w:t>五、存在的主要问题及改进情况</w:t>
      </w:r>
    </w:p>
    <w:p>
      <w:pPr>
        <w:widowControl/>
        <w:shd w:val="clear" w:color="auto" w:fill="FFFFFF"/>
        <w:spacing w:line="560" w:lineRule="exact"/>
        <w:ind w:firstLine="420"/>
        <w:rPr>
          <w:rFonts w:ascii="楷体_GB2312" w:hAnsi="黑体" w:eastAsia="楷体_GB2312"/>
          <w:color w:val="333333"/>
          <w:sz w:val="32"/>
          <w:szCs w:val="32"/>
          <w:shd w:val="clear" w:color="auto" w:fill="FFFFFF"/>
        </w:rPr>
      </w:pPr>
      <w:r>
        <w:rPr>
          <w:rFonts w:hint="eastAsia" w:ascii="楷体_GB2312" w:hAnsi="黑体" w:eastAsia="楷体_GB2312"/>
          <w:color w:val="333333"/>
          <w:sz w:val="32"/>
          <w:szCs w:val="32"/>
          <w:shd w:val="clear" w:color="auto" w:fill="FFFFFF"/>
        </w:rPr>
        <w:t>（一）2019年问题整改情况。</w:t>
      </w:r>
    </w:p>
    <w:p>
      <w:pPr>
        <w:widowControl/>
        <w:shd w:val="clear" w:color="auto" w:fill="FFFFFF"/>
        <w:spacing w:line="560" w:lineRule="exact"/>
        <w:ind w:firstLine="420"/>
        <w:rPr>
          <w:rFonts w:ascii="仿宋_GB2312" w:hAnsi="黑体" w:eastAsia="仿宋_GB2312" w:cs="宋体"/>
          <w:color w:val="333333"/>
          <w:kern w:val="0"/>
          <w:sz w:val="32"/>
          <w:szCs w:val="32"/>
          <w:shd w:val="clear" w:color="auto" w:fill="FFFFFF"/>
        </w:rPr>
      </w:pPr>
      <w:r>
        <w:rPr>
          <w:rFonts w:hint="eastAsia" w:ascii="仿宋_GB2312" w:hAnsi="黑体" w:eastAsia="仿宋_GB2312"/>
          <w:color w:val="333333"/>
          <w:sz w:val="32"/>
          <w:szCs w:val="32"/>
          <w:shd w:val="clear" w:color="auto" w:fill="FFFFFF"/>
        </w:rPr>
        <w:t>一是进一步提高政府信息公开内容质量和丰富形式。在提高数量的同时，提高了信息发布质量，并充分运用新媒体，加大与新闻媒体的合作力度，强化了重点领域信息数量和质量的公开；二是加强政务公开培训力度，在培训内容上进一步丰富、充实；三是将政府信息公开工作纳入全中心绩效考核，调动各科室积极性。</w:t>
      </w:r>
    </w:p>
    <w:p>
      <w:pPr>
        <w:widowControl/>
        <w:shd w:val="clear" w:color="auto" w:fill="FFFFFF"/>
        <w:spacing w:line="560" w:lineRule="exact"/>
        <w:ind w:firstLine="420"/>
        <w:rPr>
          <w:rFonts w:ascii="楷体_GB2312" w:hAnsi="黑体" w:eastAsia="楷体_GB2312"/>
          <w:color w:val="333333"/>
          <w:sz w:val="32"/>
          <w:szCs w:val="32"/>
          <w:shd w:val="clear" w:color="auto" w:fill="FFFFFF"/>
        </w:rPr>
      </w:pPr>
      <w:r>
        <w:rPr>
          <w:rFonts w:hint="eastAsia" w:ascii="楷体_GB2312" w:hAnsi="黑体" w:eastAsia="楷体_GB2312"/>
          <w:color w:val="333333"/>
          <w:sz w:val="32"/>
          <w:szCs w:val="32"/>
          <w:shd w:val="clear" w:color="auto" w:fill="FFFFFF"/>
        </w:rPr>
        <w:t>（二）2020年存在的主要问题。</w:t>
      </w:r>
    </w:p>
    <w:p>
      <w:pPr>
        <w:widowControl/>
        <w:spacing w:line="560" w:lineRule="exact"/>
        <w:ind w:firstLine="640" w:firstLineChars="200"/>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t>一是对公开的新要求学习不够深入。《条例》修订后，对政府信息公开工作提出了新要求。在这种情况下，对政府信息公开工作的培训没有完全跟上，</w:t>
      </w:r>
      <w:r>
        <w:rPr>
          <w:rFonts w:hint="eastAsia" w:ascii="仿宋_GB2312" w:hAnsi="微软雅黑" w:eastAsia="仿宋_GB2312" w:cs="宋体"/>
          <w:color w:val="333333"/>
          <w:kern w:val="0"/>
          <w:sz w:val="32"/>
          <w:szCs w:val="32"/>
          <w:shd w:val="clear" w:color="auto" w:fill="FFFFFF"/>
        </w:rPr>
        <w:t>中心</w:t>
      </w:r>
      <w:r>
        <w:rPr>
          <w:rFonts w:ascii="仿宋_GB2312" w:hAnsi="微软雅黑" w:eastAsia="仿宋_GB2312" w:cs="宋体"/>
          <w:color w:val="333333"/>
          <w:kern w:val="0"/>
          <w:sz w:val="32"/>
          <w:szCs w:val="32"/>
          <w:shd w:val="clear" w:color="auto" w:fill="FFFFFF"/>
        </w:rPr>
        <w:t>内部分职工对其系统性认识不够深刻。</w:t>
      </w:r>
    </w:p>
    <w:p>
      <w:pPr>
        <w:widowControl/>
        <w:spacing w:line="560" w:lineRule="exact"/>
        <w:ind w:firstLine="640" w:firstLineChars="200"/>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t>二是公开工作机制不够完善。</w:t>
      </w:r>
      <w:r>
        <w:rPr>
          <w:rFonts w:hint="eastAsia" w:ascii="仿宋_GB2312" w:hAnsi="微软雅黑" w:eastAsia="仿宋_GB2312" w:cs="宋体"/>
          <w:color w:val="333333"/>
          <w:kern w:val="0"/>
          <w:sz w:val="32"/>
          <w:szCs w:val="32"/>
          <w:shd w:val="clear" w:color="auto" w:fill="FFFFFF"/>
        </w:rPr>
        <w:t>中心</w:t>
      </w:r>
      <w:r>
        <w:rPr>
          <w:rFonts w:ascii="仿宋_GB2312" w:hAnsi="微软雅黑" w:eastAsia="仿宋_GB2312" w:cs="宋体"/>
          <w:color w:val="333333"/>
          <w:kern w:val="0"/>
          <w:sz w:val="32"/>
          <w:szCs w:val="32"/>
          <w:shd w:val="clear" w:color="auto" w:fill="FFFFFF"/>
        </w:rPr>
        <w:t>机关《政府信息公开工作管理考核办法》需要进一步修订，全</w:t>
      </w:r>
      <w:r>
        <w:rPr>
          <w:rFonts w:hint="eastAsia" w:ascii="仿宋_GB2312" w:hAnsi="微软雅黑" w:eastAsia="仿宋_GB2312" w:cs="宋体"/>
          <w:color w:val="333333"/>
          <w:kern w:val="0"/>
          <w:sz w:val="32"/>
          <w:szCs w:val="32"/>
          <w:shd w:val="clear" w:color="auto" w:fill="FFFFFF"/>
        </w:rPr>
        <w:t>中心</w:t>
      </w:r>
      <w:r>
        <w:rPr>
          <w:rFonts w:ascii="仿宋_GB2312" w:hAnsi="微软雅黑" w:eastAsia="仿宋_GB2312" w:cs="宋体"/>
          <w:color w:val="333333"/>
          <w:kern w:val="0"/>
          <w:sz w:val="32"/>
          <w:szCs w:val="32"/>
          <w:shd w:val="clear" w:color="auto" w:fill="FFFFFF"/>
        </w:rPr>
        <w:t>的政府信息公开工作体系还需完善，公开渠道和形式需要进一步创新。</w:t>
      </w:r>
    </w:p>
    <w:p>
      <w:pPr>
        <w:widowControl/>
        <w:spacing w:line="560" w:lineRule="exact"/>
        <w:ind w:firstLine="640" w:firstLineChars="200"/>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t>三是公开力度需进一步加大。</w:t>
      </w:r>
      <w:r>
        <w:rPr>
          <w:rFonts w:hint="eastAsia" w:ascii="仿宋_GB2312" w:hAnsi="微软雅黑" w:eastAsia="仿宋_GB2312" w:cs="宋体"/>
          <w:color w:val="333333"/>
          <w:kern w:val="0"/>
          <w:sz w:val="32"/>
          <w:szCs w:val="32"/>
          <w:shd w:val="clear" w:color="auto" w:fill="FFFFFF"/>
        </w:rPr>
        <w:t>加大决策、执行、管理、服务、结果信息公开力度，积极推进政策文件、财政审计、保障新住房、公共资源配置等重点领域方面的信息公开。</w:t>
      </w:r>
    </w:p>
    <w:p>
      <w:pPr>
        <w:widowControl/>
        <w:spacing w:line="560" w:lineRule="exact"/>
        <w:ind w:firstLine="640" w:firstLineChars="200"/>
        <w:rPr>
          <w:rFonts w:ascii="楷体_GB2312" w:hAnsi="黑体" w:eastAsia="楷体_GB2312"/>
          <w:color w:val="333333"/>
          <w:sz w:val="32"/>
          <w:szCs w:val="32"/>
          <w:shd w:val="clear" w:color="auto" w:fill="FFFFFF"/>
        </w:rPr>
      </w:pPr>
      <w:r>
        <w:rPr>
          <w:rFonts w:hint="eastAsia" w:ascii="楷体_GB2312" w:hAnsi="黑体" w:eastAsia="楷体_GB2312"/>
          <w:color w:val="333333"/>
          <w:sz w:val="32"/>
          <w:szCs w:val="32"/>
          <w:shd w:val="clear" w:color="auto" w:fill="FFFFFF"/>
        </w:rPr>
        <w:t>（三）改进措施。</w:t>
      </w:r>
    </w:p>
    <w:p>
      <w:pPr>
        <w:widowControl/>
        <w:shd w:val="clear" w:color="auto" w:fill="FFFFFF"/>
        <w:spacing w:line="560" w:lineRule="exact"/>
        <w:ind w:firstLine="420"/>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一是强化公开队伍建设与培</w:t>
      </w:r>
      <w:bookmarkStart w:id="0" w:name="_GoBack"/>
      <w:bookmarkEnd w:id="0"/>
      <w:r>
        <w:rPr>
          <w:rFonts w:hint="eastAsia" w:ascii="仿宋_GB2312" w:hAnsi="黑体" w:eastAsia="仿宋_GB2312"/>
          <w:color w:val="333333"/>
          <w:sz w:val="32"/>
          <w:szCs w:val="32"/>
          <w:shd w:val="clear" w:color="auto" w:fill="FFFFFF"/>
        </w:rPr>
        <w:t>训。强化政府信息公开工作人员队伍建设，各科室配备一名政府信息公开工作专管员；强化政府信息公开工作培训，通过邀请专家授课、开展政府信息公开工作专题辅导报告会等形式，切实提高工作人员对政府信息公开工作的认识水平和工作能力。</w:t>
      </w:r>
    </w:p>
    <w:p>
      <w:pPr>
        <w:widowControl/>
        <w:shd w:val="clear" w:color="auto" w:fill="FFFFFF"/>
        <w:spacing w:line="560" w:lineRule="exact"/>
        <w:ind w:firstLine="420"/>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二是不断健全政府信息公开工作机制。根据新修订的《条例》，修订完善《政府信息公开工作管理考核办法》，确保新要求得到有效落实；完善全中心政府信息公开工作机制，进一步提高局系统政府信息公开工作规范化、制度化水平。</w:t>
      </w:r>
    </w:p>
    <w:p>
      <w:pPr>
        <w:widowControl/>
        <w:spacing w:line="560" w:lineRule="exact"/>
        <w:ind w:firstLine="640" w:firstLineChars="200"/>
        <w:rPr>
          <w:rFonts w:ascii="微软雅黑" w:hAnsi="微软雅黑" w:eastAsia="微软雅黑" w:cs="宋体"/>
          <w:color w:val="333333"/>
          <w:kern w:val="0"/>
          <w:sz w:val="24"/>
          <w:szCs w:val="24"/>
          <w:shd w:val="clear" w:color="auto" w:fill="FFFFFF"/>
        </w:rPr>
      </w:pPr>
      <w:r>
        <w:rPr>
          <w:rFonts w:hint="eastAsia" w:ascii="仿宋_GB2312" w:hAnsi="黑体" w:eastAsia="仿宋_GB2312"/>
          <w:color w:val="333333"/>
          <w:sz w:val="32"/>
          <w:szCs w:val="32"/>
          <w:shd w:val="clear" w:color="auto" w:fill="FFFFFF"/>
        </w:rPr>
        <w:t>三是继续加大重点领域信息公开力度。围绕中心、服务大局，细化政府信息公开工作目录，着力强化重点领域信息公开力度，突出做好政府工作报告、保障性住房项目、重要民生举措等领域信息公开工作，</w:t>
      </w:r>
      <w:r>
        <w:rPr>
          <w:rFonts w:hint="eastAsia" w:ascii="仿宋_GB2312" w:hAnsi="微软雅黑" w:eastAsia="仿宋_GB2312" w:cs="宋体"/>
          <w:color w:val="333333"/>
          <w:kern w:val="0"/>
          <w:sz w:val="32"/>
          <w:szCs w:val="32"/>
          <w:shd w:val="clear" w:color="auto" w:fill="FFFFFF"/>
        </w:rPr>
        <w:t>提升政务公开信息的数量和质量，为社会和公众提供更有效的水利信息。</w:t>
      </w:r>
    </w:p>
    <w:p>
      <w:pPr>
        <w:widowControl/>
        <w:shd w:val="clear" w:color="auto" w:fill="FFFFFF"/>
        <w:spacing w:line="560" w:lineRule="exact"/>
        <w:ind w:firstLine="420"/>
        <w:rPr>
          <w:rFonts w:hint="eastAsia" w:ascii="黑体" w:hAnsi="黑体" w:eastAsia="黑体" w:cs="宋体"/>
          <w:color w:val="333333"/>
          <w:kern w:val="0"/>
          <w:sz w:val="32"/>
          <w:szCs w:val="32"/>
          <w:shd w:val="clear" w:color="auto" w:fill="FFFFFF"/>
        </w:rPr>
      </w:pPr>
      <w:r>
        <w:rPr>
          <w:rFonts w:hint="eastAsia" w:ascii="黑体" w:hAnsi="黑体" w:eastAsia="黑体" w:cs="宋体"/>
          <w:color w:val="333333"/>
          <w:kern w:val="0"/>
          <w:sz w:val="32"/>
          <w:szCs w:val="32"/>
          <w:shd w:val="clear" w:color="auto" w:fill="FFFFFF"/>
        </w:rPr>
        <w:t>六、其他需要报告的事项</w:t>
      </w:r>
    </w:p>
    <w:p>
      <w:pPr>
        <w:widowControl/>
        <w:shd w:val="clear" w:color="auto" w:fill="FFFFFF"/>
        <w:spacing w:line="560" w:lineRule="exact"/>
        <w:ind w:firstLine="420"/>
        <w:rPr>
          <w:rFonts w:ascii="楷体_GB2312" w:hAnsi="仿宋_GB2312" w:eastAsia="楷体_GB2312" w:cs="仿宋_GB2312"/>
          <w:sz w:val="32"/>
          <w:szCs w:val="32"/>
        </w:rPr>
      </w:pPr>
      <w:r>
        <w:rPr>
          <w:rFonts w:ascii="楷体_GB2312" w:hAnsi="仿宋_GB2312" w:eastAsia="楷体_GB2312" w:cs="仿宋_GB2312"/>
          <w:sz w:val="32"/>
          <w:szCs w:val="32"/>
        </w:rPr>
        <w:t>人大代表建议和政协提案办理情况。</w:t>
      </w:r>
    </w:p>
    <w:p>
      <w:pPr>
        <w:widowControl/>
        <w:shd w:val="clear" w:color="auto" w:fill="FFFFFF"/>
        <w:spacing w:line="560" w:lineRule="exact"/>
        <w:ind w:firstLine="420"/>
        <w:rPr>
          <w:rFonts w:hint="eastAsia" w:ascii="仿宋_GB2312" w:hAnsi="Calibri" w:eastAsia="仿宋_GB2312" w:cs="Times New Roman"/>
          <w:color w:val="333333"/>
          <w:sz w:val="32"/>
          <w:szCs w:val="32"/>
          <w:shd w:val="clear" w:color="auto" w:fill="FFFFFF"/>
        </w:rPr>
      </w:pPr>
      <w:r>
        <w:rPr>
          <w:rFonts w:hint="eastAsia" w:ascii="仿宋_GB2312" w:hAnsi="Calibri" w:eastAsia="仿宋_GB2312" w:cs="Times New Roman"/>
          <w:color w:val="333333"/>
          <w:sz w:val="32"/>
          <w:szCs w:val="32"/>
          <w:shd w:val="clear" w:color="auto" w:fill="FFFFFF"/>
        </w:rPr>
        <w:t>我中心本年度共收到市十八届人大四次会议代表建议7件，主动向社会公开人大代表建议办理结果信息7件。收到市政协十届二次会议政协委员提案0件，主动向社会公开委员提案政协委员提案办理结果信息0件。</w:t>
      </w:r>
    </w:p>
    <w:p>
      <w:pPr>
        <w:widowControl/>
        <w:shd w:val="clear" w:color="auto" w:fill="FFFFFF"/>
        <w:spacing w:line="560" w:lineRule="exact"/>
        <w:ind w:firstLine="420"/>
        <w:rPr>
          <w:rFonts w:hint="eastAsia" w:ascii="仿宋_GB2312" w:hAnsi="Calibri" w:eastAsia="仿宋_GB2312" w:cs="Times New Roman"/>
          <w:color w:val="333333"/>
          <w:sz w:val="32"/>
          <w:szCs w:val="32"/>
          <w:shd w:val="clear" w:color="auto" w:fill="FFFFFF"/>
        </w:rPr>
      </w:pPr>
    </w:p>
    <w:p>
      <w:pPr>
        <w:widowControl/>
        <w:wordWrap w:val="0"/>
        <w:spacing w:line="560" w:lineRule="atLeast"/>
        <w:ind w:right="320" w:firstLine="640"/>
        <w:jc w:val="right"/>
        <w:rPr>
          <w:rFonts w:hint="eastAsia" w:ascii="仿宋_GB2312" w:hAnsi="微软雅黑" w:eastAsia="仿宋_GB2312" w:cs="宋体"/>
          <w:color w:val="333333"/>
          <w:kern w:val="0"/>
          <w:sz w:val="32"/>
          <w:szCs w:val="32"/>
          <w:shd w:val="clear" w:color="auto" w:fill="FFFFFF"/>
          <w:lang w:val="en-US" w:eastAsia="zh-CN"/>
        </w:rPr>
      </w:pPr>
      <w:r>
        <w:rPr>
          <w:rFonts w:hint="eastAsia" w:ascii="仿宋_GB2312" w:hAnsi="微软雅黑" w:eastAsia="仿宋_GB2312" w:cs="宋体"/>
          <w:color w:val="333333"/>
          <w:kern w:val="0"/>
          <w:sz w:val="32"/>
          <w:szCs w:val="32"/>
          <w:shd w:val="clear" w:color="auto" w:fill="FFFFFF"/>
        </w:rPr>
        <w:t>安丘市房产服务中心</w:t>
      </w:r>
      <w:r>
        <w:rPr>
          <w:rFonts w:hint="eastAsia" w:ascii="仿宋_GB2312" w:hAnsi="微软雅黑" w:eastAsia="仿宋_GB2312" w:cs="宋体"/>
          <w:color w:val="333333"/>
          <w:kern w:val="0"/>
          <w:sz w:val="32"/>
          <w:szCs w:val="32"/>
          <w:shd w:val="clear" w:color="auto" w:fill="FFFFFF"/>
          <w:lang w:val="en-US" w:eastAsia="zh-CN"/>
        </w:rPr>
        <w:t xml:space="preserve"> </w:t>
      </w:r>
    </w:p>
    <w:p>
      <w:pPr>
        <w:widowControl/>
        <w:wordWrap w:val="0"/>
        <w:spacing w:line="560" w:lineRule="atLeast"/>
        <w:ind w:firstLine="640"/>
        <w:jc w:val="right"/>
        <w:rPr>
          <w:rFonts w:hint="default" w:ascii="仿宋_GB2312" w:hAnsi="微软雅黑" w:eastAsia="仿宋_GB2312" w:cs="宋体"/>
          <w:color w:val="333333"/>
          <w:kern w:val="0"/>
          <w:sz w:val="32"/>
          <w:szCs w:val="32"/>
          <w:shd w:val="clear" w:color="auto" w:fill="FFFFFF"/>
          <w:lang w:val="en-US" w:eastAsia="zh-CN"/>
        </w:rPr>
      </w:pPr>
      <w:r>
        <w:rPr>
          <w:rFonts w:hint="eastAsia" w:ascii="仿宋_GB2312" w:hAnsi="微软雅黑" w:eastAsia="仿宋_GB2312" w:cs="宋体"/>
          <w:color w:val="333333"/>
          <w:kern w:val="0"/>
          <w:sz w:val="32"/>
          <w:szCs w:val="32"/>
          <w:shd w:val="clear" w:color="auto" w:fill="FFFFFF"/>
        </w:rPr>
        <w:t>2021年1月24日</w:t>
      </w:r>
      <w:r>
        <w:rPr>
          <w:rFonts w:hint="eastAsia" w:ascii="仿宋_GB2312" w:hAnsi="微软雅黑" w:eastAsia="仿宋_GB2312" w:cs="宋体"/>
          <w:color w:val="333333"/>
          <w:kern w:val="0"/>
          <w:sz w:val="32"/>
          <w:szCs w:val="32"/>
          <w:shd w:val="clear" w:color="auto" w:fill="FFFFFF"/>
          <w:lang w:val="en-US" w:eastAsia="zh-CN"/>
        </w:rPr>
        <w:t xml:space="preserve">    </w:t>
      </w: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
    <w:altName w:val="Segoe Print"/>
    <w:panose1 w:val="0201060900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16"/>
    <w:rsid w:val="00000A3C"/>
    <w:rsid w:val="0013506A"/>
    <w:rsid w:val="00152A16"/>
    <w:rsid w:val="00185946"/>
    <w:rsid w:val="00211733"/>
    <w:rsid w:val="002C275A"/>
    <w:rsid w:val="002E1566"/>
    <w:rsid w:val="002E5A25"/>
    <w:rsid w:val="0036646F"/>
    <w:rsid w:val="003A1D90"/>
    <w:rsid w:val="00540DBA"/>
    <w:rsid w:val="005A7360"/>
    <w:rsid w:val="005B04FF"/>
    <w:rsid w:val="005F5EB5"/>
    <w:rsid w:val="00623175"/>
    <w:rsid w:val="0068317E"/>
    <w:rsid w:val="006852FA"/>
    <w:rsid w:val="007051D3"/>
    <w:rsid w:val="007110D3"/>
    <w:rsid w:val="00717B6F"/>
    <w:rsid w:val="0078635D"/>
    <w:rsid w:val="00852090"/>
    <w:rsid w:val="008B66DE"/>
    <w:rsid w:val="008C6EF9"/>
    <w:rsid w:val="00997534"/>
    <w:rsid w:val="009E4578"/>
    <w:rsid w:val="00A4454A"/>
    <w:rsid w:val="00AB6399"/>
    <w:rsid w:val="00AD512E"/>
    <w:rsid w:val="00B10962"/>
    <w:rsid w:val="00B22A3A"/>
    <w:rsid w:val="00B36B3C"/>
    <w:rsid w:val="00BB2B40"/>
    <w:rsid w:val="00BB418E"/>
    <w:rsid w:val="00BE0664"/>
    <w:rsid w:val="00C012F5"/>
    <w:rsid w:val="00C40C3B"/>
    <w:rsid w:val="00CB551B"/>
    <w:rsid w:val="00CB55CC"/>
    <w:rsid w:val="00CC3438"/>
    <w:rsid w:val="00DE100E"/>
    <w:rsid w:val="00DF2792"/>
    <w:rsid w:val="00E355DB"/>
    <w:rsid w:val="00E53CDA"/>
    <w:rsid w:val="00E550A4"/>
    <w:rsid w:val="00E87456"/>
    <w:rsid w:val="00E916D5"/>
    <w:rsid w:val="00E96332"/>
    <w:rsid w:val="00EF4D2B"/>
    <w:rsid w:val="00F15559"/>
    <w:rsid w:val="00F16860"/>
    <w:rsid w:val="00F86186"/>
    <w:rsid w:val="00FF5ED6"/>
    <w:rsid w:val="0C103B52"/>
    <w:rsid w:val="3CAD049E"/>
    <w:rsid w:val="4B137F94"/>
    <w:rsid w:val="50ED266C"/>
    <w:rsid w:val="56704CDF"/>
    <w:rsid w:val="6064454D"/>
    <w:rsid w:val="79B5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068B7"/>
      <w:u w:val="none"/>
    </w:rPr>
  </w:style>
  <w:style w:type="character" w:styleId="10">
    <w:name w:val="Hyperlink"/>
    <w:basedOn w:val="7"/>
    <w:semiHidden/>
    <w:unhideWhenUsed/>
    <w:qFormat/>
    <w:uiPriority w:val="99"/>
    <w:rPr>
      <w:color w:val="0068B7"/>
      <w:u w:val="non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7"/>
    <w:link w:val="2"/>
    <w:semiHidden/>
    <w:qFormat/>
    <w:uiPriority w:val="99"/>
    <w:rPr>
      <w:sz w:val="18"/>
      <w:szCs w:val="18"/>
    </w:rPr>
  </w:style>
  <w:style w:type="character" w:customStyle="1" w:styleId="15">
    <w:name w:val="diy_checked"/>
    <w:basedOn w:val="7"/>
    <w:qFormat/>
    <w:uiPriority w:val="0"/>
  </w:style>
  <w:style w:type="character" w:customStyle="1" w:styleId="16">
    <w:name w:val="unread"/>
    <w:basedOn w:val="7"/>
    <w:uiPriority w:val="0"/>
    <w:rPr>
      <w:b/>
      <w:color w:val="000000"/>
    </w:rPr>
  </w:style>
  <w:style w:type="character" w:customStyle="1" w:styleId="17">
    <w:name w:val="user_online"/>
    <w:basedOn w:val="7"/>
    <w:qFormat/>
    <w:uiPriority w:val="0"/>
    <w:rPr>
      <w:color w:val="1797DC"/>
    </w:rPr>
  </w:style>
  <w:style w:type="character" w:customStyle="1" w:styleId="18">
    <w:name w:val="user_online1"/>
    <w:basedOn w:val="7"/>
    <w:qFormat/>
    <w:uiPriority w:val="0"/>
    <w:rPr>
      <w:color w:val="1797DC"/>
    </w:rPr>
  </w:style>
  <w:style w:type="character" w:customStyle="1" w:styleId="19">
    <w:name w:val="user_offline"/>
    <w:basedOn w:val="7"/>
    <w:qFormat/>
    <w:uiPriority w:val="0"/>
    <w:rPr>
      <w:color w:val="999999"/>
    </w:rPr>
  </w:style>
  <w:style w:type="character" w:customStyle="1" w:styleId="20">
    <w:name w:val="user_offline1"/>
    <w:basedOn w:val="7"/>
    <w:qFormat/>
    <w:uiPriority w:val="0"/>
    <w:rPr>
      <w:color w:val="999999"/>
    </w:rPr>
  </w:style>
  <w:style w:type="character" w:customStyle="1" w:styleId="21">
    <w:name w:val="chat_user"/>
    <w:basedOn w:val="7"/>
    <w:qFormat/>
    <w:uiPriority w:val="0"/>
  </w:style>
  <w:style w:type="character" w:customStyle="1" w:styleId="22">
    <w:name w:val="chat_user1"/>
    <w:basedOn w:val="7"/>
    <w:qFormat/>
    <w:uiPriority w:val="0"/>
  </w:style>
  <w:style w:type="character" w:customStyle="1" w:styleId="23">
    <w:name w:val="suc"/>
    <w:basedOn w:val="7"/>
    <w:qFormat/>
    <w:uiPriority w:val="0"/>
    <w:rPr>
      <w:color w:val="000000"/>
    </w:rPr>
  </w:style>
  <w:style w:type="character" w:customStyle="1" w:styleId="24">
    <w:name w:val="diy_check"/>
    <w:basedOn w:val="7"/>
    <w:qFormat/>
    <w:uiPriority w:val="0"/>
  </w:style>
  <w:style w:type="character" w:customStyle="1" w:styleId="25">
    <w:name w:val="diy_check1"/>
    <w:basedOn w:val="7"/>
    <w:qFormat/>
    <w:uiPriority w:val="0"/>
  </w:style>
  <w:style w:type="character" w:customStyle="1" w:styleId="26">
    <w:name w:val="cke_colorbox2"/>
    <w:basedOn w:val="7"/>
    <w:qFormat/>
    <w:uiPriority w:val="0"/>
  </w:style>
  <w:style w:type="character" w:customStyle="1" w:styleId="27">
    <w:name w:val="cke_colorbox3"/>
    <w:basedOn w:val="7"/>
    <w:qFormat/>
    <w:uiPriority w:val="0"/>
    <w:rPr>
      <w:bdr w:val="single" w:color="808080" w:sz="6" w:space="0"/>
    </w:rPr>
  </w:style>
  <w:style w:type="character" w:customStyle="1" w:styleId="28">
    <w:name w:val="cke_colorbox4"/>
    <w:basedOn w:val="7"/>
    <w:qFormat/>
    <w:uiPriority w:val="0"/>
  </w:style>
  <w:style w:type="character" w:customStyle="1" w:styleId="29">
    <w:name w:val="cke_colorbox5"/>
    <w:basedOn w:val="7"/>
    <w:qFormat/>
    <w:uiPriority w:val="0"/>
  </w:style>
  <w:style w:type="character" w:customStyle="1" w:styleId="30">
    <w:name w:val="addr_sj"/>
    <w:basedOn w:val="7"/>
    <w:qFormat/>
    <w:uiPriority w:val="0"/>
    <w:rPr>
      <w:color w:val="AAAAAA"/>
      <w:sz w:val="15"/>
      <w:szCs w:val="15"/>
    </w:rPr>
  </w:style>
  <w:style w:type="character" w:customStyle="1" w:styleId="31">
    <w:name w:val="maxwidth"/>
    <w:basedOn w:val="7"/>
    <w:qFormat/>
    <w:uiPriority w:val="0"/>
  </w:style>
  <w:style w:type="character" w:customStyle="1" w:styleId="32">
    <w:name w:val="mcms"/>
    <w:basedOn w:val="7"/>
    <w:qFormat/>
    <w:uiPriority w:val="0"/>
  </w:style>
  <w:style w:type="character" w:customStyle="1" w:styleId="33">
    <w:name w:val="pushphone"/>
    <w:basedOn w:val="7"/>
    <w:qFormat/>
    <w:uiPriority w:val="0"/>
    <w:rPr>
      <w:b/>
    </w:rPr>
  </w:style>
  <w:style w:type="character" w:customStyle="1" w:styleId="34">
    <w:name w:val="hover53"/>
    <w:basedOn w:val="7"/>
    <w:qFormat/>
    <w:uiPriority w:val="0"/>
    <w:rPr>
      <w:shd w:val="clear" w:fill="EEEEEE"/>
    </w:rPr>
  </w:style>
  <w:style w:type="character" w:customStyle="1" w:styleId="35">
    <w:name w:val="hover54"/>
    <w:basedOn w:val="7"/>
    <w:qFormat/>
    <w:uiPriority w:val="0"/>
    <w:rPr>
      <w:shd w:val="clear" w:fill="FBF4E4"/>
    </w:rPr>
  </w:style>
  <w:style w:type="character" w:customStyle="1" w:styleId="36">
    <w:name w:val="foldecurrent"/>
    <w:basedOn w:val="7"/>
    <w:qFormat/>
    <w:uiPriority w:val="0"/>
    <w:rPr>
      <w:color w:val="FFFFFF"/>
      <w:shd w:val="clear" w:fill="278BD7"/>
    </w:rPr>
  </w:style>
  <w:style w:type="character" w:customStyle="1" w:styleId="37">
    <w:name w:val="error"/>
    <w:basedOn w:val="7"/>
    <w:qFormat/>
    <w:uiPriority w:val="0"/>
    <w:rPr>
      <w:color w:val="000000"/>
    </w:rPr>
  </w:style>
  <w:style w:type="character" w:customStyle="1" w:styleId="38">
    <w:name w:val="pushphoneico"/>
    <w:basedOn w:val="7"/>
    <w:qFormat/>
    <w:uiPriority w:val="0"/>
  </w:style>
  <w:style w:type="character" w:customStyle="1" w:styleId="39">
    <w:name w:val="pushnum"/>
    <w:basedOn w:val="7"/>
    <w:qFormat/>
    <w:uiPriority w:val="0"/>
  </w:style>
  <w:style w:type="character" w:customStyle="1" w:styleId="40">
    <w:name w:val="pushopa"/>
    <w:basedOn w:val="7"/>
    <w:qFormat/>
    <w:uiPriority w:val="0"/>
  </w:style>
  <w:style w:type="character" w:customStyle="1" w:styleId="41">
    <w:name w:val="pushsys"/>
    <w:basedOn w:val="7"/>
    <w:qFormat/>
    <w:uiPriority w:val="0"/>
  </w:style>
  <w:style w:type="character" w:customStyle="1" w:styleId="42">
    <w:name w:val="address_dialog_checked"/>
    <w:basedOn w:val="7"/>
    <w:qFormat/>
    <w:uiPriority w:val="0"/>
    <w:rPr>
      <w:shd w:val="clear" w:fill="EEEEEE"/>
    </w:rPr>
  </w:style>
  <w:style w:type="character" w:customStyle="1" w:styleId="43">
    <w:name w:val="cke_path_empty2"/>
    <w:basedOn w:val="7"/>
    <w:qFormat/>
    <w:uiPriority w:val="0"/>
    <w:rPr>
      <w:b/>
      <w:color w:val="484848"/>
      <w:sz w:val="16"/>
      <w:szCs w:val="16"/>
      <w:u w:val="none"/>
    </w:rPr>
  </w:style>
  <w:style w:type="character" w:customStyle="1" w:styleId="44">
    <w:name w:val="cke_notification_progress"/>
    <w:basedOn w:val="7"/>
    <w:qFormat/>
    <w:uiPriority w:val="0"/>
    <w:rPr>
      <w:shd w:val="clear" w:fill="0F74A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3991</Words>
  <Characters>4142</Characters>
  <Lines>32</Lines>
  <Paragraphs>9</Paragraphs>
  <TotalTime>12</TotalTime>
  <ScaleCrop>false</ScaleCrop>
  <LinksUpToDate>false</LinksUpToDate>
  <CharactersWithSpaces>4143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2021-02-07T05:09:00Z</dcterms:created>
  <dc:creator>未定义</dc:creator>
  <cp:lastModifiedBy>辛芜</cp:lastModifiedBy>
  <cp:lastPrinted>2020-07-21T06:29:00Z</cp:lastPrinted>
  <dcterms:modified xsi:type="dcterms:W3CDTF">2022-01-13T07:46:38Z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EE48EAF6AE2D4F7E8B6B30C6C7F2BB1C</vt:lpwstr>
  </property>
</Properties>
</file>