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0"/>
        <w:rPr>
          <w:rFonts w:ascii="方正小标宋简体" w:hAnsi="黑体" w:eastAsia="方正小标宋简体" w:cs="宋体"/>
          <w:color w:val="auto"/>
          <w:kern w:val="36"/>
          <w:sz w:val="44"/>
          <w:szCs w:val="44"/>
        </w:rPr>
      </w:pPr>
      <w:r>
        <w:rPr>
          <w:rFonts w:hint="eastAsia" w:ascii="方正小标宋简体" w:hAnsi="黑体" w:eastAsia="方正小标宋简体" w:cs="宋体"/>
          <w:color w:val="auto"/>
          <w:kern w:val="36"/>
          <w:sz w:val="44"/>
          <w:szCs w:val="44"/>
        </w:rPr>
        <w:t>安丘市综合行政执法局</w:t>
      </w:r>
    </w:p>
    <w:p>
      <w:pPr>
        <w:widowControl/>
        <w:shd w:val="clear" w:color="auto" w:fill="FFFFFF"/>
        <w:spacing w:line="560" w:lineRule="exact"/>
        <w:jc w:val="center"/>
        <w:outlineLvl w:val="0"/>
        <w:rPr>
          <w:rFonts w:ascii="方正小标宋简体" w:hAnsi="黑体" w:eastAsia="方正小标宋简体" w:cs="宋体"/>
          <w:color w:val="auto"/>
          <w:kern w:val="36"/>
          <w:sz w:val="44"/>
          <w:szCs w:val="44"/>
        </w:rPr>
      </w:pPr>
      <w:r>
        <w:rPr>
          <w:rFonts w:hint="eastAsia" w:ascii="方正小标宋简体" w:hAnsi="黑体" w:eastAsia="方正小标宋简体" w:cs="宋体"/>
          <w:color w:val="auto"/>
          <w:kern w:val="36"/>
          <w:sz w:val="44"/>
          <w:szCs w:val="44"/>
        </w:rPr>
        <w:t>202</w:t>
      </w:r>
      <w:r>
        <w:rPr>
          <w:rFonts w:hint="default" w:ascii="方正小标宋简体" w:hAnsi="黑体" w:eastAsia="方正小标宋简体" w:cs="宋体"/>
          <w:color w:val="auto"/>
          <w:kern w:val="36"/>
          <w:sz w:val="44"/>
          <w:szCs w:val="44"/>
        </w:rPr>
        <w:t>2</w:t>
      </w:r>
      <w:r>
        <w:rPr>
          <w:rFonts w:hint="eastAsia" w:ascii="方正小标宋简体" w:hAnsi="黑体" w:eastAsia="方正小标宋简体" w:cs="宋体"/>
          <w:color w:val="auto"/>
          <w:kern w:val="36"/>
          <w:sz w:val="44"/>
          <w:szCs w:val="44"/>
        </w:rPr>
        <w:t>年政府信息公开工作年度报告</w:t>
      </w:r>
    </w:p>
    <w:p>
      <w:pPr>
        <w:widowControl/>
        <w:shd w:val="clear" w:color="auto" w:fill="FFFFFF"/>
        <w:spacing w:line="560" w:lineRule="exact"/>
        <w:jc w:val="center"/>
        <w:outlineLvl w:val="0"/>
        <w:rPr>
          <w:rFonts w:ascii="方正小标宋简体" w:hAnsi="黑体" w:eastAsia="方正小标宋简体" w:cs="宋体"/>
          <w:b/>
          <w:bCs/>
          <w:color w:val="auto"/>
          <w:kern w:val="36"/>
          <w:sz w:val="44"/>
          <w:szCs w:val="44"/>
        </w:rPr>
      </w:pPr>
    </w:p>
    <w:p>
      <w:pPr>
        <w:spacing w:line="56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numPr>
          <w:ilvl w:val="0"/>
          <w:numId w:val="0"/>
        </w:numPr>
        <w:spacing w:line="560" w:lineRule="exact"/>
        <w:ind w:firstLine="640" w:firstLineChars="200"/>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Hans"/>
        </w:rPr>
        <w:t>一</w:t>
      </w:r>
      <w:r>
        <w:rPr>
          <w:rFonts w:hint="default" w:ascii="黑体" w:hAnsi="黑体" w:eastAsia="黑体" w:cs="黑体"/>
          <w:color w:val="auto"/>
          <w:sz w:val="32"/>
          <w:szCs w:val="32"/>
          <w:shd w:val="clear" w:color="auto" w:fill="FFFFFF"/>
          <w:lang w:eastAsia="zh-Hans"/>
        </w:rPr>
        <w:t>、</w:t>
      </w:r>
      <w:r>
        <w:rPr>
          <w:rFonts w:hint="eastAsia" w:ascii="黑体" w:hAnsi="黑体" w:eastAsia="黑体" w:cs="黑体"/>
          <w:color w:val="auto"/>
          <w:sz w:val="32"/>
          <w:szCs w:val="32"/>
          <w:shd w:val="clear" w:color="auto" w:fill="FFFFFF"/>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bookmarkStart w:id="0" w:name="_Hlk93331416"/>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我</w:t>
      </w:r>
      <w:r>
        <w:rPr>
          <w:rFonts w:hint="eastAsia" w:ascii="仿宋_GB2312" w:hAnsi="仿宋_GB2312" w:eastAsia="仿宋_GB2312" w:cs="仿宋_GB2312"/>
          <w:color w:val="auto"/>
          <w:sz w:val="32"/>
          <w:szCs w:val="32"/>
          <w:shd w:val="clear" w:color="auto" w:fill="FFFFFF"/>
        </w:rPr>
        <w:t>局</w:t>
      </w:r>
      <w:r>
        <w:rPr>
          <w:rFonts w:hint="eastAsia" w:ascii="仿宋_GB2312" w:hAnsi="仿宋_GB2312" w:eastAsia="仿宋_GB2312" w:cs="仿宋_GB2312"/>
          <w:color w:val="auto"/>
          <w:sz w:val="32"/>
          <w:szCs w:val="32"/>
          <w:shd w:val="clear" w:color="auto" w:fill="FFFFFF"/>
          <w:lang w:val="en-US" w:eastAsia="zh-CN"/>
        </w:rPr>
        <w:t>认真贯彻落实《中华人民共和国政府信息公开条例》精神，坚持公正、透明、准确、及时、便民的原则，认真做好本年度政府信息公开工作。</w:t>
      </w:r>
    </w:p>
    <w:bookmarkEnd w:id="0"/>
    <w:p>
      <w:pPr>
        <w:numPr>
          <w:ilvl w:val="0"/>
          <w:numId w:val="1"/>
        </w:numPr>
        <w:spacing w:line="560" w:lineRule="exact"/>
        <w:ind w:firstLine="640" w:firstLineChars="200"/>
        <w:rPr>
          <w:rFonts w:hint="eastAsia" w:ascii="楷体_GB2312" w:hAnsi="仿宋_GB2312" w:eastAsia="楷体_GB2312" w:cs="仿宋_GB2312"/>
          <w:color w:val="auto"/>
          <w:sz w:val="32"/>
          <w:szCs w:val="32"/>
          <w:shd w:val="clear" w:color="auto" w:fill="FFFFFF"/>
        </w:rPr>
      </w:pPr>
      <w:r>
        <w:rPr>
          <w:rFonts w:hint="eastAsia" w:ascii="楷体_GB2312" w:hAnsi="仿宋_GB2312" w:eastAsia="楷体_GB2312" w:cs="仿宋_GB2312"/>
          <w:color w:val="auto"/>
          <w:sz w:val="32"/>
          <w:szCs w:val="32"/>
          <w:shd w:val="clear" w:color="auto" w:fill="FFFFFF"/>
        </w:rPr>
        <w:t>主动公开</w:t>
      </w:r>
    </w:p>
    <w:p>
      <w:pPr>
        <w:numPr>
          <w:ilvl w:val="0"/>
          <w:numId w:val="0"/>
        </w:numPr>
        <w:spacing w:line="560" w:lineRule="exact"/>
        <w:ind w:firstLine="643" w:firstLineChars="200"/>
        <w:rPr>
          <w:rFonts w:hint="eastAsia" w:ascii="仿宋_GB2312" w:hAnsi="仿宋" w:eastAsia="仿宋_GB2312" w:cs="仿宋_GB2312"/>
          <w:b/>
          <w:bCs/>
          <w:color w:val="auto"/>
          <w:kern w:val="2"/>
          <w:sz w:val="32"/>
          <w:szCs w:val="32"/>
        </w:rPr>
      </w:pPr>
      <w:r>
        <w:rPr>
          <w:rFonts w:hint="eastAsia" w:ascii="仿宋_GB2312" w:hAnsi="仿宋" w:eastAsia="仿宋_GB2312" w:cs="仿宋_GB2312"/>
          <w:b/>
          <w:bCs/>
          <w:color w:val="auto"/>
          <w:kern w:val="2"/>
          <w:sz w:val="32"/>
          <w:szCs w:val="32"/>
          <w:lang w:val="en-US" w:eastAsia="zh-CN"/>
        </w:rPr>
        <w:t>1.</w:t>
      </w:r>
      <w:r>
        <w:rPr>
          <w:rFonts w:hint="eastAsia" w:ascii="仿宋_GB2312" w:hAnsi="仿宋" w:eastAsia="仿宋_GB2312" w:cs="仿宋_GB2312"/>
          <w:b/>
          <w:bCs/>
          <w:color w:val="auto"/>
          <w:kern w:val="2"/>
          <w:sz w:val="32"/>
          <w:szCs w:val="32"/>
        </w:rPr>
        <w:t>体制机制建设情况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1"/>
        <w:jc w:val="left"/>
        <w:textAlignment w:val="auto"/>
        <w:rPr>
          <w:rFonts w:ascii="仿宋_GB2312" w:hAnsi="微软雅黑" w:eastAsia="仿宋_GB2312" w:cs="仿宋_GB2312"/>
          <w:color w:val="auto"/>
          <w:spacing w:val="0"/>
          <w:sz w:val="32"/>
          <w:szCs w:val="32"/>
        </w:rPr>
      </w:pPr>
      <w:r>
        <w:rPr>
          <w:rFonts w:hint="eastAsia" w:ascii="仿宋_GB2312" w:hAnsi="仿宋_GB2312" w:eastAsia="仿宋_GB2312" w:cs="仿宋_GB2312"/>
          <w:i w:val="0"/>
          <w:caps w:val="0"/>
          <w:color w:val="auto"/>
          <w:spacing w:val="0"/>
          <w:sz w:val="32"/>
          <w:szCs w:val="32"/>
        </w:rPr>
        <w:t>健全完善组织机构，明确职责，细化分工，按要求及时准确地公布群众关注的热点、难点、焦点问题。</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default" w:ascii="仿宋_GB2312" w:hAnsi="仿宋" w:eastAsia="仿宋_GB2312" w:cs="仿宋"/>
          <w:b/>
          <w:bCs/>
          <w:color w:val="auto"/>
          <w:kern w:val="2"/>
          <w:sz w:val="32"/>
          <w:szCs w:val="32"/>
          <w:lang w:val="en-US" w:eastAsia="zh-CN" w:bidi="ar-SA"/>
        </w:rPr>
      </w:pPr>
      <w:r>
        <w:rPr>
          <w:rFonts w:hint="eastAsia" w:ascii="仿宋_GB2312" w:hAnsi="仿宋" w:eastAsia="仿宋_GB2312" w:cs="仿宋"/>
          <w:b/>
          <w:bCs/>
          <w:color w:val="auto"/>
          <w:kern w:val="2"/>
          <w:sz w:val="32"/>
          <w:szCs w:val="32"/>
          <w:lang w:val="en-US" w:eastAsia="zh-CN" w:bidi="ar-SA"/>
        </w:rPr>
        <w:t>2.主动公开信息情况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right="0" w:firstLine="640" w:firstLineChars="200"/>
        <w:jc w:val="left"/>
        <w:textAlignment w:val="auto"/>
        <w:rPr>
          <w:rFonts w:hint="eastAsia" w:ascii="仿宋_GB2312" w:hAnsi="微软雅黑" w:eastAsia="仿宋_GB2312" w:cs="宋体"/>
          <w:color w:val="auto"/>
          <w:kern w:val="0"/>
          <w:sz w:val="32"/>
          <w:szCs w:val="32"/>
          <w:lang w:val="en-US" w:eastAsia="zh-CN"/>
        </w:rPr>
      </w:pPr>
      <w:r>
        <w:rPr>
          <w:rFonts w:hint="eastAsia" w:ascii="仿宋_GB2312" w:hAnsi="仿宋_GB2312" w:eastAsia="仿宋_GB2312" w:cs="仿宋_GB2312"/>
          <w:i w:val="0"/>
          <w:caps w:val="0"/>
          <w:color w:val="auto"/>
          <w:spacing w:val="0"/>
          <w:kern w:val="2"/>
          <w:sz w:val="32"/>
          <w:szCs w:val="32"/>
          <w:lang w:val="en-US" w:eastAsia="zh-CN" w:bidi="ar-SA"/>
        </w:rPr>
        <w:t>2022年度，我局以“应公开尽公开”为原则，及时准确主动公开政府信息210条，同时充分发挥政务新媒体在政务公开中的积极作用，通过“安丘综合执法”微信公众号发布信息326条；</w:t>
      </w:r>
      <w:r>
        <w:rPr>
          <w:rFonts w:hint="eastAsia" w:ascii="仿宋_GB2312" w:hAnsi="微软雅黑" w:eastAsia="仿宋_GB2312" w:cs="宋体"/>
          <w:color w:val="auto"/>
          <w:kern w:val="0"/>
          <w:sz w:val="32"/>
          <w:szCs w:val="32"/>
        </w:rPr>
        <w:t>较去年</w:t>
      </w:r>
      <w:r>
        <w:rPr>
          <w:rFonts w:hint="eastAsia" w:ascii="仿宋_GB2312" w:hAnsi="微软雅黑" w:eastAsia="仿宋_GB2312" w:cs="宋体"/>
          <w:color w:val="auto"/>
          <w:kern w:val="0"/>
          <w:sz w:val="32"/>
          <w:szCs w:val="32"/>
          <w:lang w:val="en-US" w:eastAsia="zh-CN"/>
        </w:rPr>
        <w:t>共增加了239</w:t>
      </w:r>
      <w:r>
        <w:rPr>
          <w:rFonts w:hint="eastAsia" w:ascii="仿宋_GB2312" w:hAnsi="微软雅黑" w:eastAsia="仿宋_GB2312" w:cs="宋体"/>
          <w:color w:val="auto"/>
          <w:kern w:val="0"/>
          <w:sz w:val="32"/>
          <w:szCs w:val="32"/>
        </w:rPr>
        <w:t>条</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按要求</w:t>
      </w:r>
      <w:r>
        <w:rPr>
          <w:rFonts w:hint="eastAsia" w:ascii="仿宋_GB2312" w:hAnsi="微软雅黑" w:eastAsia="仿宋_GB2312" w:cs="宋体"/>
          <w:color w:val="auto"/>
          <w:kern w:val="0"/>
          <w:sz w:val="32"/>
          <w:szCs w:val="32"/>
          <w:lang w:val="en-US" w:eastAsia="zh-CN"/>
        </w:rPr>
        <w:t>对</w:t>
      </w:r>
      <w:r>
        <w:rPr>
          <w:rFonts w:hint="eastAsia" w:ascii="仿宋_GB2312" w:hAnsi="微软雅黑" w:eastAsia="仿宋_GB2312" w:cs="宋体"/>
          <w:color w:val="auto"/>
          <w:kern w:val="0"/>
          <w:sz w:val="32"/>
          <w:szCs w:val="32"/>
        </w:rPr>
        <w:t>本单位机关职能、机构设置、办公地址、办公时间、联系方式、负责人姓名及时进行了公示</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按季度</w:t>
      </w:r>
      <w:r>
        <w:rPr>
          <w:rFonts w:hint="eastAsia" w:ascii="仿宋_GB2312" w:hAnsi="微软雅黑" w:eastAsia="仿宋_GB2312" w:cs="宋体"/>
          <w:color w:val="auto"/>
          <w:kern w:val="0"/>
          <w:sz w:val="32"/>
          <w:szCs w:val="32"/>
          <w:lang w:val="en-US" w:eastAsia="zh-CN"/>
        </w:rPr>
        <w:t>对落实《政府工作报告》、</w:t>
      </w:r>
      <w:r>
        <w:rPr>
          <w:rFonts w:hint="eastAsia" w:ascii="仿宋_GB2312" w:hAnsi="微软雅黑" w:eastAsia="仿宋_GB2312" w:cs="宋体"/>
          <w:color w:val="auto"/>
          <w:kern w:val="0"/>
          <w:sz w:val="32"/>
          <w:szCs w:val="32"/>
          <w:highlight w:val="none"/>
          <w:lang w:val="en-US" w:eastAsia="zh-CN"/>
        </w:rPr>
        <w:t>水质检查、餐厨垃圾收运处理等情况进行公示；及时</w:t>
      </w:r>
      <w:r>
        <w:rPr>
          <w:rFonts w:hint="eastAsia" w:ascii="仿宋_GB2312" w:hAnsi="微软雅黑" w:eastAsia="仿宋_GB2312" w:cs="宋体"/>
          <w:color w:val="auto"/>
          <w:kern w:val="0"/>
          <w:sz w:val="32"/>
          <w:szCs w:val="32"/>
          <w:highlight w:val="none"/>
        </w:rPr>
        <w:t>公开行政</w:t>
      </w:r>
      <w:r>
        <w:rPr>
          <w:rFonts w:hint="eastAsia" w:ascii="仿宋_GB2312" w:hAnsi="微软雅黑" w:eastAsia="仿宋_GB2312" w:cs="宋体"/>
          <w:color w:val="auto"/>
          <w:kern w:val="0"/>
          <w:sz w:val="32"/>
          <w:szCs w:val="32"/>
        </w:rPr>
        <w:t>处罚情况，预决算情况</w:t>
      </w:r>
      <w:r>
        <w:rPr>
          <w:rFonts w:hint="eastAsia" w:ascii="仿宋_GB2312" w:hAnsi="微软雅黑" w:eastAsia="仿宋_GB2312" w:cs="宋体"/>
          <w:color w:val="auto"/>
          <w:kern w:val="0"/>
          <w:sz w:val="32"/>
          <w:szCs w:val="32"/>
          <w:lang w:eastAsia="zh-CN"/>
        </w:rPr>
        <w:t>。</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3" w:firstLineChars="200"/>
        <w:textAlignment w:val="auto"/>
        <w:rPr>
          <w:rFonts w:hint="default" w:ascii="Calibri" w:hAnsi="Calibri" w:eastAsia="宋体" w:cs="Times New Roman"/>
          <w:color w:val="auto"/>
          <w:kern w:val="0"/>
          <w:sz w:val="24"/>
          <w:szCs w:val="24"/>
        </w:rPr>
      </w:pPr>
      <w:r>
        <w:rPr>
          <w:rFonts w:hint="eastAsia" w:ascii="仿宋_GB2312" w:hAnsi="仿宋" w:eastAsia="仿宋_GB2312" w:cs="仿宋"/>
          <w:b/>
          <w:bCs/>
          <w:color w:val="auto"/>
          <w:kern w:val="2"/>
          <w:sz w:val="32"/>
          <w:szCs w:val="32"/>
          <w:lang w:val="en-US" w:eastAsia="zh-CN" w:bidi="ar-SA"/>
        </w:rPr>
        <w:t>3.解读回应关切</w:t>
      </w:r>
    </w:p>
    <w:p>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仿宋_GB2312" w:hAnsi="微软雅黑" w:eastAsia="仿宋_GB2312" w:cs="仿宋_GB2312"/>
          <w:i w:val="0"/>
          <w:iCs w:val="0"/>
          <w:caps w:val="0"/>
          <w:color w:val="auto"/>
          <w:spacing w:val="0"/>
          <w:kern w:val="0"/>
          <w:sz w:val="32"/>
          <w:szCs w:val="32"/>
          <w:shd w:val="clear" w:fill="FFFFFF"/>
          <w:lang w:val="en-US" w:eastAsia="zh-CN"/>
        </w:rPr>
      </w:pPr>
      <w:r>
        <w:rPr>
          <w:rFonts w:ascii="仿宋_GB2312" w:hAnsi="微软雅黑" w:eastAsia="仿宋_GB2312" w:cs="仿宋_GB2312"/>
          <w:i w:val="0"/>
          <w:iCs w:val="0"/>
          <w:caps w:val="0"/>
          <w:color w:val="auto"/>
          <w:spacing w:val="0"/>
          <w:kern w:val="0"/>
          <w:sz w:val="32"/>
          <w:szCs w:val="32"/>
          <w:shd w:val="clear" w:fill="FFFFFF"/>
        </w:rPr>
        <w:t>202</w:t>
      </w:r>
      <w:r>
        <w:rPr>
          <w:rFonts w:hint="default" w:ascii="仿宋_GB2312" w:hAnsi="微软雅黑" w:eastAsia="仿宋_GB2312" w:cs="仿宋_GB2312"/>
          <w:i w:val="0"/>
          <w:iCs w:val="0"/>
          <w:caps w:val="0"/>
          <w:color w:val="auto"/>
          <w:spacing w:val="0"/>
          <w:kern w:val="0"/>
          <w:sz w:val="32"/>
          <w:szCs w:val="32"/>
          <w:shd w:val="clear" w:fill="FFFFFF"/>
        </w:rPr>
        <w:t>2</w:t>
      </w:r>
      <w:r>
        <w:rPr>
          <w:rFonts w:ascii="仿宋_GB2312" w:hAnsi="微软雅黑" w:eastAsia="仿宋_GB2312" w:cs="仿宋_GB2312"/>
          <w:i w:val="0"/>
          <w:iCs w:val="0"/>
          <w:caps w:val="0"/>
          <w:color w:val="auto"/>
          <w:spacing w:val="0"/>
          <w:kern w:val="0"/>
          <w:sz w:val="32"/>
          <w:szCs w:val="32"/>
          <w:shd w:val="clear" w:fill="FFFFFF"/>
        </w:rPr>
        <w:t>年，</w:t>
      </w:r>
      <w:r>
        <w:rPr>
          <w:rFonts w:hint="eastAsia" w:ascii="仿宋_GB2312" w:hAnsi="微软雅黑" w:eastAsia="仿宋_GB2312" w:cs="仿宋_GB2312"/>
          <w:i w:val="0"/>
          <w:iCs w:val="0"/>
          <w:caps w:val="0"/>
          <w:color w:val="auto"/>
          <w:spacing w:val="0"/>
          <w:kern w:val="0"/>
          <w:sz w:val="32"/>
          <w:szCs w:val="32"/>
          <w:shd w:val="clear" w:fill="FFFFFF"/>
          <w:lang w:val="en-US" w:eastAsia="zh-CN"/>
        </w:rPr>
        <w:t>解读</w:t>
      </w:r>
      <w:r>
        <w:rPr>
          <w:rFonts w:ascii="仿宋_GB2312" w:hAnsi="微软雅黑" w:eastAsia="仿宋_GB2312" w:cs="仿宋_GB2312"/>
          <w:i w:val="0"/>
          <w:iCs w:val="0"/>
          <w:caps w:val="0"/>
          <w:color w:val="auto"/>
          <w:spacing w:val="0"/>
          <w:kern w:val="0"/>
          <w:sz w:val="32"/>
          <w:szCs w:val="32"/>
          <w:shd w:val="clear" w:fill="FFFFFF"/>
        </w:rPr>
        <w:t>政策</w:t>
      </w:r>
      <w:r>
        <w:rPr>
          <w:rFonts w:hint="default" w:ascii="仿宋_GB2312" w:hAnsi="微软雅黑" w:eastAsia="仿宋_GB2312" w:cs="仿宋_GB2312"/>
          <w:i w:val="0"/>
          <w:iCs w:val="0"/>
          <w:caps w:val="0"/>
          <w:color w:val="auto"/>
          <w:spacing w:val="0"/>
          <w:kern w:val="0"/>
          <w:sz w:val="32"/>
          <w:szCs w:val="32"/>
          <w:shd w:val="clear" w:fill="FFFFFF"/>
        </w:rPr>
        <w:t>5</w:t>
      </w:r>
      <w:r>
        <w:rPr>
          <w:rFonts w:ascii="仿宋_GB2312" w:hAnsi="微软雅黑" w:eastAsia="仿宋_GB2312" w:cs="仿宋_GB2312"/>
          <w:i w:val="0"/>
          <w:iCs w:val="0"/>
          <w:caps w:val="0"/>
          <w:color w:val="auto"/>
          <w:spacing w:val="0"/>
          <w:kern w:val="0"/>
          <w:sz w:val="32"/>
          <w:szCs w:val="32"/>
          <w:shd w:val="clear" w:fill="FFFFFF"/>
        </w:rPr>
        <w:t>次，</w:t>
      </w:r>
      <w:r>
        <w:rPr>
          <w:rFonts w:hint="eastAsia" w:ascii="仿宋_GB2312" w:hAnsi="微软雅黑" w:eastAsia="仿宋_GB2312" w:cs="仿宋_GB2312"/>
          <w:i w:val="0"/>
          <w:iCs w:val="0"/>
          <w:caps w:val="0"/>
          <w:color w:val="auto"/>
          <w:spacing w:val="0"/>
          <w:kern w:val="0"/>
          <w:sz w:val="32"/>
          <w:szCs w:val="32"/>
          <w:shd w:val="clear" w:fill="FFFFFF"/>
          <w:lang w:val="en-US" w:eastAsia="zh-CN"/>
        </w:rPr>
        <w:t>以视频、音频、图文等形式发布</w:t>
      </w:r>
      <w:r>
        <w:rPr>
          <w:rFonts w:hint="default" w:ascii="仿宋_GB2312" w:hAnsi="微软雅黑" w:eastAsia="仿宋_GB2312" w:cs="仿宋_GB2312"/>
          <w:i w:val="0"/>
          <w:iCs w:val="0"/>
          <w:caps w:val="0"/>
          <w:color w:val="auto"/>
          <w:spacing w:val="0"/>
          <w:kern w:val="0"/>
          <w:sz w:val="32"/>
          <w:szCs w:val="32"/>
          <w:shd w:val="clear" w:fill="FFFFFF"/>
          <w:lang w:eastAsia="zh-CN"/>
        </w:rPr>
        <w:t>23</w:t>
      </w:r>
      <w:r>
        <w:rPr>
          <w:rFonts w:hint="eastAsia" w:ascii="仿宋_GB2312" w:hAnsi="微软雅黑" w:eastAsia="仿宋_GB2312" w:cs="仿宋_GB2312"/>
          <w:i w:val="0"/>
          <w:iCs w:val="0"/>
          <w:caps w:val="0"/>
          <w:color w:val="auto"/>
          <w:spacing w:val="0"/>
          <w:kern w:val="0"/>
          <w:sz w:val="32"/>
          <w:szCs w:val="32"/>
          <w:shd w:val="clear" w:fill="FFFFFF"/>
          <w:lang w:val="en-US" w:eastAsia="zh-Hans"/>
        </w:rPr>
        <w:t>条</w:t>
      </w:r>
      <w:r>
        <w:rPr>
          <w:rFonts w:hint="eastAsia" w:ascii="仿宋_GB2312" w:hAnsi="微软雅黑" w:eastAsia="仿宋_GB2312" w:cs="仿宋_GB2312"/>
          <w:i w:val="0"/>
          <w:iCs w:val="0"/>
          <w:caps w:val="0"/>
          <w:color w:val="auto"/>
          <w:spacing w:val="0"/>
          <w:kern w:val="0"/>
          <w:sz w:val="32"/>
          <w:szCs w:val="32"/>
          <w:shd w:val="clear" w:fill="FFFFFF"/>
          <w:lang w:val="en-US" w:eastAsia="zh-CN"/>
        </w:rPr>
        <w:t>解读内容</w:t>
      </w:r>
      <w:r>
        <w:rPr>
          <w:rFonts w:ascii="仿宋_GB2312" w:hAnsi="微软雅黑" w:eastAsia="仿宋_GB2312" w:cs="仿宋_GB2312"/>
          <w:i w:val="0"/>
          <w:iCs w:val="0"/>
          <w:caps w:val="0"/>
          <w:color w:val="auto"/>
          <w:spacing w:val="0"/>
          <w:kern w:val="0"/>
          <w:sz w:val="32"/>
          <w:szCs w:val="32"/>
          <w:shd w:val="clear" w:fill="FFFFFF"/>
        </w:rPr>
        <w:t>，平台共收到</w:t>
      </w:r>
      <w:r>
        <w:rPr>
          <w:rFonts w:hint="eastAsia" w:ascii="仿宋_GB2312" w:hAnsi="微软雅黑" w:eastAsia="仿宋_GB2312" w:cs="仿宋_GB2312"/>
          <w:i w:val="0"/>
          <w:iCs w:val="0"/>
          <w:caps w:val="0"/>
          <w:color w:val="auto"/>
          <w:spacing w:val="0"/>
          <w:kern w:val="0"/>
          <w:sz w:val="32"/>
          <w:szCs w:val="32"/>
          <w:shd w:val="clear" w:fill="FFFFFF"/>
          <w:lang w:val="en-US" w:eastAsia="zh-CN"/>
        </w:rPr>
        <w:t>信件</w:t>
      </w:r>
      <w:r>
        <w:rPr>
          <w:rFonts w:hint="default" w:ascii="仿宋_GB2312" w:hAnsi="微软雅黑" w:eastAsia="仿宋_GB2312" w:cs="仿宋_GB2312"/>
          <w:i w:val="0"/>
          <w:iCs w:val="0"/>
          <w:caps w:val="0"/>
          <w:color w:val="auto"/>
          <w:spacing w:val="0"/>
          <w:kern w:val="0"/>
          <w:sz w:val="32"/>
          <w:szCs w:val="32"/>
          <w:shd w:val="clear" w:fill="FFFFFF"/>
          <w:lang w:eastAsia="zh-CN"/>
        </w:rPr>
        <w:t>12</w:t>
      </w:r>
      <w:r>
        <w:rPr>
          <w:rFonts w:ascii="仿宋_GB2312" w:hAnsi="微软雅黑" w:eastAsia="仿宋_GB2312" w:cs="仿宋_GB2312"/>
          <w:i w:val="0"/>
          <w:iCs w:val="0"/>
          <w:caps w:val="0"/>
          <w:color w:val="auto"/>
          <w:spacing w:val="0"/>
          <w:kern w:val="0"/>
          <w:sz w:val="32"/>
          <w:szCs w:val="32"/>
          <w:shd w:val="clear" w:fill="FFFFFF"/>
        </w:rPr>
        <w:t>件，</w:t>
      </w:r>
      <w:r>
        <w:rPr>
          <w:rFonts w:hint="eastAsia" w:ascii="仿宋_GB2312" w:hAnsi="微软雅黑" w:eastAsia="仿宋_GB2312" w:cs="仿宋_GB2312"/>
          <w:i w:val="0"/>
          <w:iCs w:val="0"/>
          <w:caps w:val="0"/>
          <w:color w:val="auto"/>
          <w:spacing w:val="0"/>
          <w:kern w:val="0"/>
          <w:sz w:val="32"/>
          <w:szCs w:val="32"/>
          <w:shd w:val="clear" w:fill="FFFFFF"/>
          <w:lang w:val="en-US" w:eastAsia="zh-CN"/>
        </w:rPr>
        <w:t>对已核实的进行及时回复。</w:t>
      </w:r>
    </w:p>
    <w:p>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default" w:ascii="仿宋_GB2312" w:hAnsi="微软雅黑" w:eastAsia="仿宋_GB2312" w:cs="仿宋_GB2312"/>
          <w:i w:val="0"/>
          <w:iCs w:val="0"/>
          <w:caps w:val="0"/>
          <w:color w:val="auto"/>
          <w:spacing w:val="0"/>
          <w:kern w:val="0"/>
          <w:sz w:val="32"/>
          <w:szCs w:val="32"/>
          <w:shd w:val="clear" w:fill="FFFFFF"/>
          <w:lang w:eastAsia="zh-CN"/>
        </w:rPr>
      </w:pPr>
      <w:r>
        <w:rPr>
          <w:rFonts w:hint="default" w:ascii="仿宋_GB2312" w:hAnsi="微软雅黑" w:eastAsia="仿宋_GB2312" w:cs="仿宋_GB2312"/>
          <w:i w:val="0"/>
          <w:iCs w:val="0"/>
          <w:caps w:val="0"/>
          <w:color w:val="auto"/>
          <w:spacing w:val="0"/>
          <w:kern w:val="0"/>
          <w:sz w:val="32"/>
          <w:szCs w:val="32"/>
          <w:shd w:val="clear" w:fill="FFFFFF"/>
          <w:lang w:eastAsia="zh-CN"/>
        </w:rPr>
        <w:drawing>
          <wp:inline distT="0" distB="0" distL="114300" distR="114300">
            <wp:extent cx="2655570" cy="2071370"/>
            <wp:effectExtent l="0" t="0" r="11430" b="11430"/>
            <wp:docPr id="1" name="图片 1" descr="截屏2023-01-11 下午3.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3-01-11 下午3.27.53"/>
                    <pic:cNvPicPr>
                      <a:picLocks noChangeAspect="1"/>
                    </pic:cNvPicPr>
                  </pic:nvPicPr>
                  <pic:blipFill>
                    <a:blip r:embed="rId4"/>
                    <a:stretch>
                      <a:fillRect/>
                    </a:stretch>
                  </pic:blipFill>
                  <pic:spPr>
                    <a:xfrm>
                      <a:off x="0" y="0"/>
                      <a:ext cx="2655570" cy="2071370"/>
                    </a:xfrm>
                    <a:prstGeom prst="rect">
                      <a:avLst/>
                    </a:prstGeom>
                  </pic:spPr>
                </pic:pic>
              </a:graphicData>
            </a:graphic>
          </wp:inline>
        </w:drawing>
      </w:r>
      <w:r>
        <w:rPr>
          <w:rFonts w:hint="default" w:ascii="仿宋_GB2312" w:hAnsi="微软雅黑" w:eastAsia="仿宋_GB2312" w:cs="仿宋_GB2312"/>
          <w:i w:val="0"/>
          <w:iCs w:val="0"/>
          <w:caps w:val="0"/>
          <w:color w:val="auto"/>
          <w:spacing w:val="0"/>
          <w:kern w:val="0"/>
          <w:sz w:val="32"/>
          <w:szCs w:val="32"/>
          <w:shd w:val="clear" w:fill="FFFFFF"/>
          <w:lang w:eastAsia="zh-CN"/>
        </w:rPr>
        <w:drawing>
          <wp:inline distT="0" distB="0" distL="114300" distR="114300">
            <wp:extent cx="2562225" cy="2051685"/>
            <wp:effectExtent l="0" t="0" r="3175" b="5715"/>
            <wp:docPr id="2" name="图片 2" descr="截屏2023-01-11 下午4.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3-01-11 下午4.26.58"/>
                    <pic:cNvPicPr>
                      <a:picLocks noChangeAspect="1"/>
                    </pic:cNvPicPr>
                  </pic:nvPicPr>
                  <pic:blipFill>
                    <a:blip r:embed="rId5"/>
                    <a:stretch>
                      <a:fillRect/>
                    </a:stretch>
                  </pic:blipFill>
                  <pic:spPr>
                    <a:xfrm>
                      <a:off x="0" y="0"/>
                      <a:ext cx="2562225" cy="2051685"/>
                    </a:xfrm>
                    <a:prstGeom prst="rect">
                      <a:avLst/>
                    </a:prstGeom>
                  </pic:spPr>
                </pic:pic>
              </a:graphicData>
            </a:graphic>
          </wp:inline>
        </w:drawing>
      </w:r>
      <w:r>
        <w:rPr>
          <w:rFonts w:hint="default" w:ascii="仿宋_GB2312" w:hAnsi="微软雅黑" w:eastAsia="仿宋_GB2312" w:cs="仿宋_GB2312"/>
          <w:i w:val="0"/>
          <w:iCs w:val="0"/>
          <w:caps w:val="0"/>
          <w:color w:val="auto"/>
          <w:spacing w:val="0"/>
          <w:kern w:val="0"/>
          <w:sz w:val="32"/>
          <w:szCs w:val="32"/>
          <w:shd w:val="clear" w:fill="FFFFFF"/>
          <w:lang w:eastAsia="zh-CN"/>
        </w:rPr>
        <w:t xml:space="preserve">           </w:t>
      </w:r>
    </w:p>
    <w:p>
      <w:pPr>
        <w:spacing w:line="240" w:lineRule="auto"/>
        <w:ind w:firstLine="640" w:firstLineChars="200"/>
        <w:rPr>
          <w:rFonts w:hint="eastAsia" w:ascii="楷体_GB2312" w:hAnsi="楷体_GB2312" w:eastAsia="楷体_GB2312" w:cs="楷体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rPr>
        <w:t>（二）依申请公开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年，我局进一步规范了依申请公开程序、时限、归档要求及文书样式，实行单位“一把手”责任制。今年收到政府信息公开申请1件，</w:t>
      </w:r>
      <w:r>
        <w:rPr>
          <w:rFonts w:hint="eastAsia" w:ascii="仿宋_GB2312" w:hAnsi="仿宋_GB2312" w:eastAsia="仿宋_GB2312" w:cs="仿宋_GB2312"/>
          <w:color w:val="auto"/>
          <w:sz w:val="32"/>
          <w:szCs w:val="32"/>
          <w:highlight w:val="none"/>
          <w:lang w:val="en-US" w:eastAsia="zh-CN"/>
        </w:rPr>
        <w:t>与2021年持平</w:t>
      </w:r>
      <w:r>
        <w:rPr>
          <w:rFonts w:hint="eastAsia" w:ascii="仿宋_GB2312" w:hAnsi="仿宋_GB2312" w:eastAsia="仿宋_GB2312" w:cs="仿宋_GB2312"/>
          <w:color w:val="auto"/>
          <w:sz w:val="32"/>
          <w:szCs w:val="32"/>
          <w:lang w:val="en-US" w:eastAsia="zh-CN"/>
        </w:rPr>
        <w:t>，涉及违法建设处罚方面，按时办结。全年未发生因政府信息公开被行政复议、提起行政诉讼情况。未收取任何与政府信息公开有关的费用。</w:t>
      </w:r>
    </w:p>
    <w:p>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rPr>
          <w:rFonts w:hint="eastAsia" w:ascii="仿宋_GB2312" w:hAnsi="仿宋_GB2312" w:eastAsia="仿宋_GB2312" w:cs="仿宋_GB2312"/>
          <w:color w:val="auto"/>
          <w:sz w:val="32"/>
          <w:szCs w:val="32"/>
        </w:rPr>
      </w:pPr>
    </w:p>
    <w:p>
      <w:pPr>
        <w:pStyle w:val="2"/>
        <w:ind w:left="0" w:leftChars="0" w:firstLine="0" w:firstLineChars="0"/>
        <w:rPr>
          <w:rFonts w:hint="eastAsia" w:eastAsiaTheme="minorEastAsia"/>
          <w:color w:val="auto"/>
          <w:lang w:eastAsia="zh-CN"/>
        </w:rPr>
      </w:pPr>
      <w:r>
        <w:rPr>
          <w:color w:val="auto"/>
        </w:rPr>
        <w:drawing>
          <wp:inline distT="0" distB="0" distL="114300" distR="114300">
            <wp:extent cx="5234940" cy="2782570"/>
            <wp:effectExtent l="6350" t="6350" r="16510" b="3048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0"/>
        </w:numPr>
        <w:spacing w:line="560" w:lineRule="exact"/>
        <w:ind w:leftChars="0"/>
        <w:rPr>
          <w:rFonts w:ascii="楷体_GB2312" w:hAnsi="楷体_GB2312" w:eastAsia="楷体_GB2312" w:cs="楷体_GB2312"/>
          <w:color w:val="auto"/>
          <w:sz w:val="32"/>
          <w:szCs w:val="32"/>
          <w:highlight w:val="none"/>
          <w:shd w:val="clear" w:color="auto" w:fill="FFFFFF"/>
        </w:rPr>
      </w:pPr>
      <w:r>
        <w:rPr>
          <w:rFonts w:hint="eastAsia" w:ascii="楷体_GB2312" w:hAnsi="楷体_GB2312" w:eastAsia="楷体_GB2312" w:cs="楷体_GB2312"/>
          <w:color w:val="auto"/>
          <w:sz w:val="32"/>
          <w:szCs w:val="32"/>
          <w:shd w:val="clear" w:color="auto" w:fill="FFFFFF"/>
          <w:lang w:val="en-US" w:eastAsia="zh-CN"/>
        </w:rPr>
        <w:t xml:space="preserve">    （三）</w:t>
      </w:r>
      <w:r>
        <w:rPr>
          <w:rFonts w:hint="eastAsia" w:ascii="楷体_GB2312" w:hAnsi="楷体_GB2312" w:eastAsia="楷体_GB2312" w:cs="楷体_GB2312"/>
          <w:color w:val="auto"/>
          <w:sz w:val="32"/>
          <w:szCs w:val="32"/>
          <w:shd w:val="clear" w:color="auto" w:fill="FFFFFF"/>
        </w:rPr>
        <w:t>政府信息管理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_GB2312" w:hAnsi="微软雅黑"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highlight w:val="none"/>
          <w:lang w:val="en-US" w:eastAsia="zh-CN" w:bidi="ar"/>
        </w:rPr>
        <w:t>制定202</w:t>
      </w:r>
      <w:r>
        <w:rPr>
          <w:rFonts w:hint="eastAsia" w:ascii="仿宋_GB2312" w:hAnsi="仿宋_GB2312" w:eastAsia="仿宋_GB2312" w:cs="仿宋_GB2312"/>
          <w:color w:val="auto"/>
          <w:kern w:val="0"/>
          <w:sz w:val="32"/>
          <w:szCs w:val="32"/>
          <w:highlight w:val="none"/>
          <w:lang w:eastAsia="zh-CN" w:bidi="ar"/>
        </w:rPr>
        <w:t>2</w:t>
      </w:r>
      <w:r>
        <w:rPr>
          <w:rFonts w:hint="eastAsia" w:ascii="仿宋_GB2312" w:hAnsi="仿宋_GB2312" w:eastAsia="仿宋_GB2312" w:cs="仿宋_GB2312"/>
          <w:color w:val="auto"/>
          <w:kern w:val="0"/>
          <w:sz w:val="32"/>
          <w:szCs w:val="32"/>
          <w:highlight w:val="none"/>
          <w:lang w:val="en-US" w:eastAsia="zh-CN" w:bidi="ar"/>
        </w:rPr>
        <w:t>年度信息公开工作方案，调整信息公开工作领导小组，召开专题会议组织学习《条例》。坚持“先审查后公开”“一事一审”原则，严格落实</w:t>
      </w:r>
      <w:r>
        <w:rPr>
          <w:rFonts w:hint="eastAsia" w:ascii="仿宋_GB2312" w:hAnsi="仿宋_GB2312" w:eastAsia="仿宋_GB2312" w:cs="仿宋_GB2312"/>
          <w:sz w:val="32"/>
          <w:szCs w:val="32"/>
          <w:highlight w:val="none"/>
          <w:lang w:val="en-US" w:eastAsia="zh-CN"/>
        </w:rPr>
        <w:t>保密审查制度。</w:t>
      </w:r>
      <w:r>
        <w:rPr>
          <w:rFonts w:hint="eastAsia" w:ascii="仿宋_GB2312" w:hAnsi="微软雅黑" w:eastAsia="仿宋_GB2312" w:cs="仿宋_GB2312"/>
          <w:color w:val="auto"/>
          <w:kern w:val="0"/>
          <w:sz w:val="32"/>
          <w:szCs w:val="32"/>
          <w:lang w:val="en-US" w:eastAsia="zh-CN" w:bidi="ar"/>
        </w:rPr>
        <w:t>召集所有市政公用企业单位，对主动公开目录进行研究，进一步完善了</w:t>
      </w:r>
      <w:r>
        <w:rPr>
          <w:rFonts w:hint="eastAsia" w:ascii="仿宋_GB2312" w:hAnsi="仿宋_GB2312" w:eastAsia="仿宋_GB2312" w:cs="仿宋_GB2312"/>
          <w:sz w:val="32"/>
          <w:szCs w:val="32"/>
          <w:highlight w:val="none"/>
          <w:lang w:val="en-US" w:eastAsia="zh-CN"/>
        </w:rPr>
        <w:t>政府信息全生命周期管理相关制度、</w:t>
      </w:r>
      <w:r>
        <w:rPr>
          <w:rFonts w:hint="eastAsia" w:ascii="仿宋_GB2312" w:hAnsi="微软雅黑" w:eastAsia="仿宋_GB2312" w:cs="仿宋_GB2312"/>
          <w:color w:val="auto"/>
          <w:kern w:val="0"/>
          <w:sz w:val="32"/>
          <w:szCs w:val="32"/>
          <w:lang w:val="en-US" w:eastAsia="zh-CN" w:bidi="ar"/>
        </w:rPr>
        <w:t>政府信息管理动态调整机制。</w:t>
      </w:r>
    </w:p>
    <w:p>
      <w:pPr>
        <w:numPr>
          <w:ilvl w:val="0"/>
          <w:numId w:val="0"/>
        </w:numPr>
        <w:spacing w:line="560" w:lineRule="exact"/>
        <w:ind w:firstLine="640" w:firstLineChars="200"/>
        <w:rPr>
          <w:rFonts w:hint="eastAsia" w:ascii="楷体_GB2312" w:hAnsi="楷体_GB2312" w:eastAsia="楷体_GB2312" w:cs="楷体_GB2312"/>
          <w:color w:val="auto"/>
          <w:sz w:val="32"/>
          <w:szCs w:val="32"/>
          <w:shd w:val="clear" w:color="auto" w:fill="FFFFFF"/>
        </w:rPr>
      </w:pPr>
      <w:r>
        <w:rPr>
          <w:rFonts w:hint="default"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val="en-US" w:eastAsia="zh-Hans"/>
        </w:rPr>
        <w:t>四</w:t>
      </w:r>
      <w:r>
        <w:rPr>
          <w:rFonts w:hint="default" w:ascii="楷体_GB2312" w:hAnsi="楷体_GB2312" w:eastAsia="楷体_GB2312" w:cs="楷体_GB2312"/>
          <w:color w:val="auto"/>
          <w:sz w:val="32"/>
          <w:szCs w:val="32"/>
          <w:shd w:val="clear" w:color="auto" w:fill="FFFFFF"/>
          <w:lang w:eastAsia="zh-Hans"/>
        </w:rPr>
        <w:t>）</w:t>
      </w:r>
      <w:r>
        <w:rPr>
          <w:rFonts w:hint="eastAsia" w:ascii="楷体_GB2312" w:hAnsi="楷体_GB2312" w:eastAsia="楷体_GB2312" w:cs="楷体_GB2312"/>
          <w:color w:val="auto"/>
          <w:sz w:val="32"/>
          <w:szCs w:val="32"/>
          <w:shd w:val="clear" w:color="auto" w:fill="FFFFFF"/>
        </w:rPr>
        <w:t>政府信息公开平台建设</w:t>
      </w:r>
    </w:p>
    <w:p>
      <w:pPr>
        <w:pStyle w:val="2"/>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依托</w:t>
      </w:r>
      <w:r>
        <w:rPr>
          <w:rFonts w:hint="eastAsia" w:ascii="仿宋_GB2312" w:hAnsi="仿宋_GB2312" w:eastAsia="仿宋_GB2312" w:cs="仿宋_GB2312"/>
          <w:color w:val="auto"/>
          <w:sz w:val="32"/>
          <w:szCs w:val="32"/>
          <w:lang w:val="en-US" w:eastAsia="zh-Hans"/>
        </w:rPr>
        <w:t>安丘人民政府网</w:t>
      </w:r>
      <w:r>
        <w:rPr>
          <w:rFonts w:hint="eastAsia" w:ascii="仿宋_GB2312" w:hAnsi="仿宋_GB2312" w:eastAsia="仿宋_GB2312" w:cs="仿宋_GB2312"/>
          <w:color w:val="auto"/>
          <w:sz w:val="32"/>
          <w:szCs w:val="32"/>
        </w:rPr>
        <w:t>，公开机构信息、会议信息、规划计划、财政信息等。依托互联网媒体等便于公众知晓的方式，及时公开工作开展情况。拓宽公开渠道，扎实推进信息公开工作。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仿宋_GB2312" w:eastAsia="楷体_GB2312" w:cs="仿宋_GB2312"/>
          <w:color w:val="auto"/>
          <w:sz w:val="32"/>
          <w:szCs w:val="32"/>
          <w:highlight w:val="none"/>
          <w:lang w:eastAsia="zh-CN"/>
        </w:rPr>
      </w:pPr>
      <w:r>
        <w:rPr>
          <w:rFonts w:hint="default" w:ascii="楷体_GB2312" w:hAnsi="仿宋_GB2312" w:eastAsia="楷体_GB2312" w:cs="仿宋_GB2312"/>
          <w:color w:val="auto"/>
          <w:sz w:val="32"/>
          <w:szCs w:val="32"/>
          <w:highlight w:val="none"/>
        </w:rPr>
        <w:t>（</w:t>
      </w:r>
      <w:r>
        <w:rPr>
          <w:rFonts w:hint="eastAsia" w:ascii="楷体_GB2312" w:hAnsi="仿宋_GB2312" w:eastAsia="楷体_GB2312" w:cs="仿宋_GB2312"/>
          <w:color w:val="auto"/>
          <w:sz w:val="32"/>
          <w:szCs w:val="32"/>
          <w:highlight w:val="none"/>
          <w:lang w:val="en-US" w:eastAsia="zh-Hans"/>
        </w:rPr>
        <w:t>五</w:t>
      </w:r>
      <w:r>
        <w:rPr>
          <w:rFonts w:hint="default" w:ascii="楷体_GB2312" w:hAnsi="仿宋_GB2312" w:eastAsia="楷体_GB2312" w:cs="仿宋_GB2312"/>
          <w:color w:val="auto"/>
          <w:sz w:val="32"/>
          <w:szCs w:val="32"/>
          <w:highlight w:val="none"/>
          <w:lang w:eastAsia="zh-Hans"/>
        </w:rPr>
        <w:t>）</w:t>
      </w:r>
      <w:r>
        <w:rPr>
          <w:rFonts w:hint="eastAsia" w:ascii="楷体_GB2312" w:hAnsi="仿宋_GB2312" w:eastAsia="楷体_GB2312" w:cs="仿宋_GB2312"/>
          <w:color w:val="auto"/>
          <w:sz w:val="32"/>
          <w:szCs w:val="32"/>
          <w:highlight w:val="none"/>
        </w:rPr>
        <w:t>监督保障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1.机构建设情况。调整充实以局主要负责人为组长，分管领导为副组长，投入主要人员组成政府信息公开工作领导小组，安排专人负责日常工作，</w:t>
      </w:r>
      <w:r>
        <w:rPr>
          <w:rFonts w:hint="eastAsia" w:ascii="仿宋_GB2312" w:eastAsia="仿宋_GB2312" w:cs="Times New Roman"/>
          <w:kern w:val="2"/>
          <w:sz w:val="32"/>
          <w:szCs w:val="32"/>
          <w:highlight w:val="none"/>
          <w:lang w:val="en-US" w:eastAsia="zh-CN" w:bidi="ar-SA"/>
        </w:rPr>
        <w:t>并加强经费保障。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2.政务公开培训。建立长效机制，积极参加</w:t>
      </w:r>
      <w:r>
        <w:rPr>
          <w:rFonts w:hint="eastAsia" w:ascii="仿宋_GB2312" w:hAnsi="仿宋_GB2312" w:eastAsia="仿宋_GB2312" w:cs="仿宋_GB2312"/>
          <w:color w:val="auto"/>
          <w:kern w:val="2"/>
          <w:sz w:val="32"/>
          <w:szCs w:val="32"/>
          <w:highlight w:val="none"/>
          <w:lang w:val="en-US" w:eastAsia="zh-CN" w:bidi="ar-SA"/>
        </w:rPr>
        <w:t>全市</w:t>
      </w:r>
      <w:r>
        <w:rPr>
          <w:rFonts w:hint="eastAsia" w:ascii="仿宋_GB2312" w:hAnsi="仿宋_GB2312" w:eastAsia="仿宋_GB2312" w:cs="仿宋_GB2312"/>
          <w:color w:val="auto"/>
          <w:kern w:val="2"/>
          <w:sz w:val="32"/>
          <w:szCs w:val="32"/>
          <w:lang w:val="en-US" w:eastAsia="zh-CN" w:bidi="ar-SA"/>
        </w:rPr>
        <w:t>组织的培训，将政务公开培训工作常态化。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3.政务公开考核。不断完善信息公开督查考核机制，将政府信息公开工作情况与机关绩效考核相结合，按照职能分工，强化具体责任，推进工作落实，提高工作效率。</w:t>
      </w:r>
    </w:p>
    <w:p>
      <w:pPr>
        <w:numPr>
          <w:ilvl w:val="0"/>
          <w:numId w:val="0"/>
        </w:numPr>
        <w:spacing w:line="560" w:lineRule="exact"/>
        <w:ind w:firstLine="640" w:firstLineChars="200"/>
        <w:rPr>
          <w:rFonts w:ascii="仿宋_GB2312" w:hAnsi="仿宋_GB2312" w:eastAsia="仿宋_GB2312" w:cs="仿宋_GB2312"/>
          <w:color w:val="auto"/>
          <w:sz w:val="32"/>
          <w:szCs w:val="32"/>
          <w:shd w:val="clear" w:color="auto" w:fill="FFFFFF"/>
        </w:rPr>
      </w:pPr>
      <w:r>
        <w:rPr>
          <w:rFonts w:hint="eastAsia" w:ascii="黑体" w:hAnsi="黑体" w:eastAsia="黑体" w:cs="黑体"/>
          <w:color w:val="auto"/>
          <w:sz w:val="32"/>
          <w:szCs w:val="32"/>
          <w:shd w:val="clear" w:color="auto" w:fill="FFFFFF"/>
        </w:rPr>
        <w:t>二、主动公开政府信息情况</w:t>
      </w:r>
    </w:p>
    <w:tbl>
      <w:tblPr>
        <w:tblStyle w:val="8"/>
        <w:tblpPr w:leftFromText="180" w:rightFromText="180" w:vertAnchor="text" w:horzAnchor="page" w:tblpX="1695" w:tblpY="614"/>
        <w:tblOverlap w:val="never"/>
        <w:tblW w:w="8320" w:type="dxa"/>
        <w:tblInd w:w="0" w:type="dxa"/>
        <w:tblLayout w:type="autofit"/>
        <w:tblCellMar>
          <w:top w:w="0" w:type="dxa"/>
          <w:left w:w="0" w:type="dxa"/>
          <w:bottom w:w="0" w:type="dxa"/>
          <w:right w:w="0" w:type="dxa"/>
        </w:tblCellMar>
      </w:tblPr>
      <w:tblGrid>
        <w:gridCol w:w="2080"/>
        <w:gridCol w:w="2080"/>
        <w:gridCol w:w="2080"/>
        <w:gridCol w:w="2080"/>
      </w:tblGrid>
      <w:tr>
        <w:tblPrEx>
          <w:tblCellMar>
            <w:top w:w="0" w:type="dxa"/>
            <w:left w:w="0" w:type="dxa"/>
            <w:bottom w:w="0" w:type="dxa"/>
            <w:right w:w="0" w:type="dxa"/>
          </w:tblCellMar>
        </w:tblPrEx>
        <w:trPr>
          <w:trHeight w:val="557" w:hRule="atLeast"/>
        </w:trPr>
        <w:tc>
          <w:tcPr>
            <w:tcW w:w="832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第二十条第（一）项</w:t>
            </w:r>
          </w:p>
        </w:tc>
      </w:tr>
      <w:tr>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信息内容</w:t>
            </w:r>
          </w:p>
        </w:tc>
        <w:tc>
          <w:tcPr>
            <w:tcW w:w="208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本年制发件数</w:t>
            </w:r>
          </w:p>
        </w:tc>
        <w:tc>
          <w:tcPr>
            <w:tcW w:w="208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本年废止件数</w:t>
            </w:r>
          </w:p>
        </w:tc>
        <w:tc>
          <w:tcPr>
            <w:tcW w:w="208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现行有效件数</w:t>
            </w:r>
          </w:p>
        </w:tc>
      </w:tr>
      <w:tr>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规章</w:t>
            </w:r>
          </w:p>
        </w:tc>
        <w:tc>
          <w:tcPr>
            <w:tcW w:w="208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0</w:t>
            </w:r>
          </w:p>
        </w:tc>
        <w:tc>
          <w:tcPr>
            <w:tcW w:w="208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0</w:t>
            </w:r>
          </w:p>
        </w:tc>
        <w:tc>
          <w:tcPr>
            <w:tcW w:w="208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0</w:t>
            </w:r>
          </w:p>
        </w:tc>
      </w:tr>
      <w:tr>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行政规范性文件</w:t>
            </w:r>
          </w:p>
        </w:tc>
        <w:tc>
          <w:tcPr>
            <w:tcW w:w="208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宋体" w:hAnsi="宋体" w:eastAsia="宋体" w:cs="宋体"/>
                <w:color w:val="auto"/>
                <w:kern w:val="0"/>
                <w:sz w:val="20"/>
                <w:szCs w:val="20"/>
                <w:lang w:bidi="ar"/>
              </w:rPr>
              <w:t>0</w:t>
            </w:r>
          </w:p>
        </w:tc>
        <w:tc>
          <w:tcPr>
            <w:tcW w:w="208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0</w:t>
            </w:r>
          </w:p>
        </w:tc>
        <w:tc>
          <w:tcPr>
            <w:tcW w:w="208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0</w:t>
            </w:r>
          </w:p>
        </w:tc>
      </w:tr>
      <w:tr>
        <w:tblPrEx>
          <w:tblCellMar>
            <w:top w:w="0" w:type="dxa"/>
            <w:left w:w="0" w:type="dxa"/>
            <w:bottom w:w="0" w:type="dxa"/>
            <w:right w:w="0" w:type="dxa"/>
          </w:tblCellMar>
        </w:tblPrEx>
        <w:trPr>
          <w:trHeight w:val="557" w:hRule="atLeast"/>
        </w:trPr>
        <w:tc>
          <w:tcPr>
            <w:tcW w:w="83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第二十条第（五）项</w:t>
            </w:r>
          </w:p>
        </w:tc>
      </w:tr>
      <w:tr>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信息内容</w:t>
            </w:r>
          </w:p>
        </w:tc>
        <w:tc>
          <w:tcPr>
            <w:tcW w:w="6240"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本年处理决定数量</w:t>
            </w:r>
          </w:p>
        </w:tc>
      </w:tr>
      <w:tr>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行政许可</w:t>
            </w:r>
          </w:p>
        </w:tc>
        <w:tc>
          <w:tcPr>
            <w:tcW w:w="6240"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0</w:t>
            </w:r>
          </w:p>
        </w:tc>
      </w:tr>
      <w:tr>
        <w:tblPrEx>
          <w:tblCellMar>
            <w:top w:w="0" w:type="dxa"/>
            <w:left w:w="0" w:type="dxa"/>
            <w:bottom w:w="0" w:type="dxa"/>
            <w:right w:w="0" w:type="dxa"/>
          </w:tblCellMar>
        </w:tblPrEx>
        <w:trPr>
          <w:trHeight w:val="557" w:hRule="atLeast"/>
        </w:trPr>
        <w:tc>
          <w:tcPr>
            <w:tcW w:w="83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第二十条第（六）项</w:t>
            </w:r>
          </w:p>
        </w:tc>
      </w:tr>
      <w:tr>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信息内容</w:t>
            </w:r>
          </w:p>
        </w:tc>
        <w:tc>
          <w:tcPr>
            <w:tcW w:w="6240"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本年处理决定数量</w:t>
            </w:r>
          </w:p>
        </w:tc>
      </w:tr>
      <w:tr>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行政处罚</w:t>
            </w:r>
          </w:p>
        </w:tc>
        <w:tc>
          <w:tcPr>
            <w:tcW w:w="6240"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default" w:ascii="宋体" w:hAnsi="宋体" w:eastAsia="宋体" w:cs="宋体"/>
                <w:color w:val="auto"/>
                <w:kern w:val="0"/>
                <w:sz w:val="20"/>
                <w:szCs w:val="20"/>
                <w:lang w:bidi="ar"/>
              </w:rPr>
              <w:t>448</w:t>
            </w:r>
            <w:r>
              <w:rPr>
                <w:rFonts w:ascii="宋体" w:hAnsi="宋体" w:eastAsia="宋体" w:cs="宋体"/>
                <w:color w:val="auto"/>
                <w:kern w:val="0"/>
                <w:sz w:val="20"/>
                <w:szCs w:val="20"/>
                <w:lang w:bidi="ar"/>
              </w:rPr>
              <w:t>件</w:t>
            </w:r>
          </w:p>
        </w:tc>
      </w:tr>
      <w:tr>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行政强制</w:t>
            </w:r>
          </w:p>
        </w:tc>
        <w:tc>
          <w:tcPr>
            <w:tcW w:w="6240"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Calibri" w:hAnsi="Calibri" w:eastAsia="宋体" w:cs="Times New Roman"/>
                <w:color w:val="auto"/>
                <w:szCs w:val="24"/>
                <w:lang w:val="en-US" w:eastAsia="zh-CN"/>
              </w:rPr>
            </w:pPr>
            <w:r>
              <w:rPr>
                <w:rFonts w:hint="eastAsia" w:ascii="宋体" w:hAnsi="宋体" w:eastAsia="宋体" w:cs="宋体"/>
                <w:color w:val="auto"/>
                <w:kern w:val="0"/>
                <w:sz w:val="20"/>
                <w:szCs w:val="20"/>
                <w:lang w:val="en-US" w:eastAsia="zh-CN" w:bidi="ar"/>
              </w:rPr>
              <w:t>91件</w:t>
            </w:r>
          </w:p>
        </w:tc>
      </w:tr>
      <w:tr>
        <w:tblPrEx>
          <w:tblCellMar>
            <w:top w:w="0" w:type="dxa"/>
            <w:left w:w="0" w:type="dxa"/>
            <w:bottom w:w="0" w:type="dxa"/>
            <w:right w:w="0" w:type="dxa"/>
          </w:tblCellMar>
        </w:tblPrEx>
        <w:trPr>
          <w:trHeight w:val="557" w:hRule="atLeast"/>
        </w:trPr>
        <w:tc>
          <w:tcPr>
            <w:tcW w:w="83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第二十条第（八）项</w:t>
            </w:r>
          </w:p>
        </w:tc>
      </w:tr>
      <w:tr>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信息内容</w:t>
            </w:r>
          </w:p>
        </w:tc>
        <w:tc>
          <w:tcPr>
            <w:tcW w:w="6240" w:type="dxa"/>
            <w:gridSpan w:val="3"/>
            <w:tcBorders>
              <w:top w:val="nil"/>
              <w:left w:val="nil"/>
              <w:bottom w:val="single" w:color="auto" w:sz="8" w:space="0"/>
              <w:right w:val="single" w:color="000000"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本年收费金额（单位：万元）</w:t>
            </w:r>
          </w:p>
        </w:tc>
      </w:tr>
      <w:tr>
        <w:tblPrEx>
          <w:tblCellMar>
            <w:top w:w="0" w:type="dxa"/>
            <w:left w:w="0" w:type="dxa"/>
            <w:bottom w:w="0" w:type="dxa"/>
            <w:right w:w="0" w:type="dxa"/>
          </w:tblCellMar>
        </w:tblPrEx>
        <w:trPr>
          <w:trHeight w:val="576"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行政事业性收费</w:t>
            </w:r>
          </w:p>
        </w:tc>
        <w:tc>
          <w:tcPr>
            <w:tcW w:w="6240" w:type="dxa"/>
            <w:gridSpan w:val="3"/>
            <w:tcBorders>
              <w:top w:val="nil"/>
              <w:left w:val="nil"/>
              <w:bottom w:val="single" w:color="auto" w:sz="8" w:space="0"/>
              <w:right w:val="single" w:color="000000" w:sz="8" w:space="0"/>
            </w:tcBorders>
            <w:tcMar>
              <w:left w:w="57" w:type="dxa"/>
              <w:right w:w="57" w:type="dxa"/>
            </w:tcMar>
            <w:vAlign w:val="center"/>
          </w:tcPr>
          <w:p>
            <w:pPr>
              <w:spacing w:line="560" w:lineRule="exact"/>
              <w:jc w:val="center"/>
              <w:rPr>
                <w:rFonts w:hint="default" w:ascii="宋体" w:hAnsi="Calibri" w:eastAsia="宋体" w:cs="Times New Roman"/>
                <w:color w:val="auto"/>
                <w:sz w:val="24"/>
                <w:szCs w:val="24"/>
              </w:rPr>
            </w:pPr>
            <w:r>
              <w:rPr>
                <w:rFonts w:hint="default" w:ascii="宋体" w:hAnsi="宋体" w:eastAsia="宋体" w:cs="宋体"/>
                <w:color w:val="auto"/>
                <w:kern w:val="0"/>
                <w:sz w:val="20"/>
                <w:szCs w:val="20"/>
                <w:lang w:bidi="ar"/>
              </w:rPr>
              <w:t>0</w:t>
            </w:r>
          </w:p>
        </w:tc>
      </w:tr>
    </w:tbl>
    <w:p>
      <w:pPr>
        <w:spacing w:line="560" w:lineRule="exact"/>
        <w:ind w:firstLine="320" w:firstLineChars="100"/>
        <w:jc w:val="left"/>
        <w:rPr>
          <w:rFonts w:ascii="黑体" w:hAnsi="黑体" w:eastAsia="黑体" w:cs="黑体"/>
          <w:color w:val="auto"/>
          <w:sz w:val="32"/>
          <w:szCs w:val="32"/>
          <w:shd w:val="clear" w:color="auto" w:fill="FFFFFF"/>
        </w:rPr>
      </w:pPr>
    </w:p>
    <w:p>
      <w:pPr>
        <w:pStyle w:val="2"/>
      </w:pPr>
      <w:r>
        <w:rPr>
          <w:rFonts w:hint="eastAsia" w:ascii="黑体" w:hAnsi="黑体" w:eastAsia="黑体" w:cs="黑体"/>
          <w:color w:val="auto"/>
          <w:sz w:val="32"/>
          <w:szCs w:val="32"/>
          <w:shd w:val="clear" w:color="auto" w:fill="FFFFFF"/>
        </w:rPr>
        <w:t>三、收到和处理政府信息公开申请情况</w:t>
      </w:r>
    </w:p>
    <w:tbl>
      <w:tblPr>
        <w:tblStyle w:val="8"/>
        <w:tblpPr w:leftFromText="180" w:rightFromText="180" w:vertAnchor="text" w:horzAnchor="page" w:tblpX="1566" w:tblpY="737"/>
        <w:tblOverlap w:val="never"/>
        <w:tblW w:w="957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4"/>
        <w:gridCol w:w="926"/>
        <w:gridCol w:w="3166"/>
        <w:gridCol w:w="676"/>
        <w:gridCol w:w="676"/>
        <w:gridCol w:w="676"/>
        <w:gridCol w:w="676"/>
        <w:gridCol w:w="676"/>
        <w:gridCol w:w="676"/>
        <w:gridCol w:w="6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4846"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spacing w:line="560" w:lineRule="exact"/>
              <w:jc w:val="left"/>
              <w:rPr>
                <w:rFonts w:ascii="Calibri" w:hAnsi="Calibri" w:eastAsia="宋体" w:cs="Times New Roman"/>
                <w:color w:val="auto"/>
                <w:szCs w:val="24"/>
              </w:rPr>
            </w:pPr>
            <w:r>
              <w:rPr>
                <w:rFonts w:ascii="楷体" w:hAnsi="楷体" w:eastAsia="楷体" w:cs="楷体"/>
                <w:color w:val="auto"/>
                <w:kern w:val="0"/>
                <w:sz w:val="20"/>
                <w:szCs w:val="20"/>
                <w:lang w:bidi="ar"/>
              </w:rPr>
              <w:t>（本列数据的勾稽关系为：第一项加第二项之和，等于第三项加第四项之和）</w:t>
            </w:r>
          </w:p>
        </w:tc>
        <w:tc>
          <w:tcPr>
            <w:tcW w:w="4733"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4846"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spacing w:line="560" w:lineRule="exact"/>
              <w:rPr>
                <w:rFonts w:ascii="宋体" w:hAnsi="Calibri" w:eastAsia="宋体" w:cs="Times New Roman"/>
                <w:color w:val="auto"/>
                <w:sz w:val="24"/>
                <w:szCs w:val="24"/>
              </w:rPr>
            </w:pPr>
          </w:p>
        </w:tc>
        <w:tc>
          <w:tcPr>
            <w:tcW w:w="676" w:type="dxa"/>
            <w:vMerge w:val="restart"/>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自然人</w:t>
            </w:r>
          </w:p>
        </w:tc>
        <w:tc>
          <w:tcPr>
            <w:tcW w:w="3380" w:type="dxa"/>
            <w:gridSpan w:val="5"/>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法人或其他组织</w:t>
            </w:r>
          </w:p>
        </w:tc>
        <w:tc>
          <w:tcPr>
            <w:tcW w:w="677"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89" w:hRule="atLeast"/>
        </w:trPr>
        <w:tc>
          <w:tcPr>
            <w:tcW w:w="4846"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spacing w:line="560" w:lineRule="exact"/>
              <w:rPr>
                <w:rFonts w:ascii="宋体" w:hAnsi="Calibri" w:eastAsia="宋体" w:cs="Times New Roman"/>
                <w:color w:val="auto"/>
                <w:sz w:val="24"/>
                <w:szCs w:val="24"/>
              </w:rPr>
            </w:pPr>
          </w:p>
        </w:tc>
        <w:tc>
          <w:tcPr>
            <w:tcW w:w="676" w:type="dxa"/>
            <w:vMerge w:val="continue"/>
            <w:tcBorders>
              <w:top w:val="nil"/>
              <w:left w:val="nil"/>
              <w:bottom w:val="single"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商业</w:t>
            </w:r>
          </w:p>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企业</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科研</w:t>
            </w:r>
          </w:p>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机构</w:t>
            </w:r>
          </w:p>
        </w:tc>
        <w:tc>
          <w:tcPr>
            <w:tcW w:w="676"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社会公益组织</w:t>
            </w:r>
          </w:p>
        </w:tc>
        <w:tc>
          <w:tcPr>
            <w:tcW w:w="676"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法律服务机构</w:t>
            </w:r>
          </w:p>
        </w:tc>
        <w:tc>
          <w:tcPr>
            <w:tcW w:w="676"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其他</w:t>
            </w:r>
          </w:p>
        </w:tc>
        <w:tc>
          <w:tcPr>
            <w:tcW w:w="677"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4846"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一、本年新收政府信息公开申请数量</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1</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4846"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二、上年结转政府信息公开申请数量</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三、本年度办理结果</w:t>
            </w:r>
          </w:p>
        </w:tc>
        <w:tc>
          <w:tcPr>
            <w:tcW w:w="4092" w:type="dxa"/>
            <w:gridSpan w:val="2"/>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（一）予以公开</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3"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4092" w:type="dxa"/>
            <w:gridSpan w:val="2"/>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（二）部分公开</w:t>
            </w:r>
            <w:r>
              <w:rPr>
                <w:rFonts w:hint="eastAsia" w:ascii="楷体" w:hAnsi="楷体" w:eastAsia="楷体" w:cs="楷体"/>
                <w:color w:val="auto"/>
                <w:kern w:val="0"/>
                <w:sz w:val="20"/>
                <w:szCs w:val="20"/>
                <w:lang w:bidi="ar"/>
              </w:rPr>
              <w:t>（区分处理的，只计这一情形，不计其他情形）</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Calibri" w:hAnsi="Calibri" w:eastAsia="宋体" w:cs="Times New Roman"/>
                <w:color w:val="auto"/>
                <w:szCs w:val="24"/>
                <w:lang w:val="en-US" w:eastAsia="zh-CN"/>
              </w:rPr>
            </w:pPr>
            <w:r>
              <w:rPr>
                <w:rFonts w:hint="eastAsia" w:ascii="Calibri" w:hAnsi="Calibri" w:eastAsia="宋体" w:cs="Calibri"/>
                <w:color w:val="auto"/>
                <w:kern w:val="0"/>
                <w:sz w:val="20"/>
                <w:szCs w:val="20"/>
                <w:lang w:val="en-US" w:eastAsia="zh-CN" w:bidi="ar"/>
              </w:rPr>
              <w:t>1</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hint="eastAsia" w:ascii="Calibri" w:hAnsi="Calibri" w:eastAsia="宋体" w:cs="Calibri"/>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（三）不予公开</w:t>
            </w:r>
          </w:p>
        </w:tc>
        <w:tc>
          <w:tcPr>
            <w:tcW w:w="316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1.属于国家秘密</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316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2.其他法律行政法规禁止公开</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316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3.危及“三安全一稳定”</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316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4.保护第三方合法权益</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316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5.属于三类内部事务信息</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316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6.属于四类过程性信息</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316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7.属于行政执法案卷</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316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8.属于行政查询事项</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（四）无法提供</w:t>
            </w:r>
          </w:p>
        </w:tc>
        <w:tc>
          <w:tcPr>
            <w:tcW w:w="316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1.本机关不掌握相关政府信息</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316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2.没有现成信息需要另行制作</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316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3.补正后申请内容仍不明确</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（五）不予处理</w:t>
            </w:r>
          </w:p>
        </w:tc>
        <w:tc>
          <w:tcPr>
            <w:tcW w:w="316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1.信访举报投诉类申请</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316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2.重复申请</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316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3.要求提供公开出版物</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316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4.无正当理由大量反复申请</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3"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3166"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rPr>
                <w:rFonts w:ascii="Calibri" w:hAnsi="Calibri" w:eastAsia="宋体" w:cs="Times New Roman"/>
                <w:color w:val="auto"/>
                <w:szCs w:val="24"/>
              </w:rPr>
            </w:pPr>
            <w:r>
              <w:rPr>
                <w:rFonts w:hint="eastAsia" w:ascii="宋体" w:hAnsi="宋体" w:eastAsia="宋体" w:cs="宋体"/>
                <w:color w:val="auto"/>
                <w:kern w:val="0"/>
                <w:sz w:val="20"/>
                <w:szCs w:val="20"/>
                <w:lang w:bidi="ar"/>
              </w:rPr>
              <w:t>5.要求行政机关确认或重新出具已获取信息</w:t>
            </w:r>
          </w:p>
        </w:tc>
        <w:tc>
          <w:tcPr>
            <w:tcW w:w="676"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89"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（六）其他处理</w:t>
            </w:r>
          </w:p>
        </w:tc>
        <w:tc>
          <w:tcPr>
            <w:tcW w:w="316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rPr>
                <w:rFonts w:ascii="Calibri" w:hAnsi="Calibri" w:eastAsia="宋体" w:cs="Times New Roman"/>
                <w:color w:val="auto"/>
                <w:szCs w:val="24"/>
              </w:rPr>
            </w:pPr>
            <w:r>
              <w:rPr>
                <w:rFonts w:hint="eastAsia" w:ascii="宋体" w:hAnsi="宋体" w:eastAsia="宋体" w:cs="宋体"/>
                <w:color w:val="auto"/>
                <w:kern w:val="0"/>
                <w:sz w:val="20"/>
                <w:szCs w:val="20"/>
                <w:lang w:bidi="ar"/>
              </w:rPr>
              <w:t>1.申请人无正当理由逾期不补正、行政机关不再处理其政府信息公开申请</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89"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316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rPr>
                <w:rFonts w:ascii="Calibri" w:hAnsi="Calibri" w:eastAsia="宋体" w:cs="Times New Roman"/>
                <w:color w:val="auto"/>
                <w:szCs w:val="24"/>
              </w:rPr>
            </w:pPr>
            <w:r>
              <w:rPr>
                <w:rFonts w:hint="eastAsia" w:ascii="宋体" w:hAnsi="宋体" w:eastAsia="宋体" w:cs="宋体"/>
                <w:color w:val="auto"/>
                <w:kern w:val="0"/>
                <w:sz w:val="20"/>
                <w:szCs w:val="20"/>
                <w:lang w:bidi="ar"/>
              </w:rPr>
              <w:t>2.申请人逾期未按收费通知要求缴纳费用、行政机关不再处理其政府信息公开申请</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926"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316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3.其他</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color w:val="auto"/>
                <w:sz w:val="24"/>
                <w:szCs w:val="24"/>
              </w:rPr>
            </w:pPr>
          </w:p>
        </w:tc>
        <w:tc>
          <w:tcPr>
            <w:tcW w:w="4092" w:type="dxa"/>
            <w:gridSpan w:val="2"/>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（七）总计</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1</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6" w:hRule="atLeast"/>
        </w:trPr>
        <w:tc>
          <w:tcPr>
            <w:tcW w:w="4846"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color w:val="auto"/>
                <w:szCs w:val="24"/>
              </w:rPr>
            </w:pPr>
            <w:r>
              <w:rPr>
                <w:rFonts w:hint="eastAsia" w:ascii="宋体" w:hAnsi="宋体" w:eastAsia="宋体" w:cs="宋体"/>
                <w:color w:val="auto"/>
                <w:kern w:val="0"/>
                <w:sz w:val="20"/>
                <w:szCs w:val="20"/>
                <w:lang w:bidi="ar"/>
              </w:rPr>
              <w:t>四、结转下年度继续办理</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color w:val="auto"/>
                <w:szCs w:val="24"/>
              </w:rPr>
            </w:pPr>
            <w:r>
              <w:rPr>
                <w:rFonts w:ascii="Calibri" w:hAnsi="Calibri" w:eastAsia="宋体" w:cs="Calibri"/>
                <w:color w:val="auto"/>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pPr>
              <w:spacing w:line="560" w:lineRule="exact"/>
              <w:jc w:val="center"/>
              <w:rPr>
                <w:rFonts w:hint="default" w:ascii="宋体" w:hAnsi="Calibri" w:eastAsia="宋体" w:cs="Times New Roman"/>
                <w:color w:val="auto"/>
                <w:sz w:val="24"/>
                <w:szCs w:val="24"/>
              </w:rPr>
            </w:pPr>
            <w:r>
              <w:rPr>
                <w:rFonts w:ascii="Calibri" w:hAnsi="Calibri" w:eastAsia="宋体" w:cs="Calibri"/>
                <w:color w:val="auto"/>
                <w:kern w:val="0"/>
                <w:sz w:val="20"/>
                <w:szCs w:val="20"/>
                <w:lang w:bidi="ar"/>
              </w:rPr>
              <w:t>0</w:t>
            </w:r>
          </w:p>
        </w:tc>
      </w:tr>
    </w:tbl>
    <w:p>
      <w:pPr>
        <w:numPr>
          <w:ilvl w:val="0"/>
          <w:numId w:val="2"/>
        </w:numPr>
        <w:spacing w:line="560" w:lineRule="exact"/>
        <w:ind w:firstLine="640" w:firstLineChars="200"/>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政府信息公开行政复议、行政诉讼情况</w:t>
      </w:r>
    </w:p>
    <w:p>
      <w:pPr>
        <w:pStyle w:val="2"/>
        <w:numPr>
          <w:ilvl w:val="0"/>
          <w:numId w:val="0"/>
        </w:numPr>
      </w:pPr>
    </w:p>
    <w:tbl>
      <w:tblPr>
        <w:tblStyle w:val="8"/>
        <w:tblpPr w:leftFromText="180" w:rightFromText="180" w:vertAnchor="text" w:horzAnchor="page" w:tblpX="1410" w:tblpY="-3"/>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结果</w:t>
            </w:r>
          </w:p>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其他</w:t>
            </w:r>
          </w:p>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尚未</w:t>
            </w:r>
          </w:p>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hAnsi="Calibri" w:eastAsia="宋体" w:cs="Times New Roman"/>
                <w:color w:val="auto"/>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hAnsi="Calibri" w:eastAsia="宋体" w:cs="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hAnsi="Calibri" w:eastAsia="宋体" w:cs="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hAnsi="Calibri" w:eastAsia="宋体" w:cs="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hAnsi="Calibri" w:eastAsia="宋体" w:cs="Times New Roman"/>
                <w:color w:val="auto"/>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结果</w:t>
            </w:r>
          </w:p>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结果</w:t>
            </w:r>
          </w:p>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其他</w:t>
            </w:r>
          </w:p>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尚未</w:t>
            </w:r>
          </w:p>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结果</w:t>
            </w:r>
          </w:p>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结果</w:t>
            </w:r>
          </w:p>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其他</w:t>
            </w:r>
          </w:p>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尚未</w:t>
            </w:r>
          </w:p>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hint="eastAsia" w:ascii="宋体" w:hAnsi="宋体" w:eastAsia="宋体" w:cs="宋体"/>
                <w:color w:val="auto"/>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ascii="黑体" w:hAnsi="宋体" w:eastAsia="黑体" w:cs="黑体"/>
                <w:color w:val="auto"/>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ascii="黑体" w:hAnsi="宋体" w:eastAsia="黑体" w:cs="黑体"/>
                <w:color w:val="auto"/>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ascii="黑体" w:hAnsi="宋体" w:eastAsia="黑体" w:cs="黑体"/>
                <w:color w:val="auto"/>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ascii="黑体" w:hAnsi="宋体" w:eastAsia="黑体" w:cs="黑体"/>
                <w:color w:val="auto"/>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ascii="黑体" w:hAnsi="宋体" w:eastAsia="黑体" w:cs="黑体"/>
                <w:color w:val="auto"/>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ascii="黑体" w:hAnsi="宋体" w:eastAsia="黑体" w:cs="黑体"/>
                <w:color w:val="auto"/>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ascii="黑体" w:hAnsi="宋体" w:eastAsia="黑体" w:cs="黑体"/>
                <w:color w:val="auto"/>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ascii="黑体" w:hAnsi="宋体" w:eastAsia="黑体" w:cs="黑体"/>
                <w:color w:val="auto"/>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ascii="黑体" w:hAnsi="宋体" w:eastAsia="黑体" w:cs="黑体"/>
                <w:color w:val="auto"/>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ascii="黑体" w:hAnsi="宋体" w:eastAsia="黑体" w:cs="黑体"/>
                <w:color w:val="auto"/>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color w:val="auto"/>
                <w:szCs w:val="24"/>
              </w:rPr>
            </w:pPr>
            <w:r>
              <w:rPr>
                <w:rFonts w:ascii="黑体" w:hAnsi="宋体" w:eastAsia="黑体" w:cs="黑体"/>
                <w:color w:val="auto"/>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jc w:val="center"/>
              <w:rPr>
                <w:rFonts w:ascii="宋体" w:hAnsi="Calibri" w:eastAsia="宋体" w:cs="Times New Roman"/>
                <w:color w:val="auto"/>
                <w:sz w:val="24"/>
                <w:szCs w:val="24"/>
              </w:rPr>
            </w:pPr>
            <w:r>
              <w:rPr>
                <w:rFonts w:hint="eastAsia" w:ascii="宋体" w:hAnsi="Calibri" w:eastAsia="宋体" w:cs="Times New Roman"/>
                <w:color w:val="auto"/>
                <w:sz w:val="24"/>
                <w:szCs w:val="24"/>
              </w:rPr>
              <w:t>0</w:t>
            </w:r>
          </w:p>
        </w:tc>
      </w:tr>
    </w:tbl>
    <w:p>
      <w:pPr>
        <w:widowControl/>
        <w:shd w:val="clear" w:color="auto" w:fill="FFFFFF"/>
        <w:spacing w:line="560" w:lineRule="exact"/>
        <w:ind w:firstLine="640" w:firstLineChars="200"/>
        <w:jc w:val="left"/>
        <w:rPr>
          <w:rFonts w:hint="eastAsia" w:ascii="楷体_GB2312" w:hAnsi="仿宋_GB2312" w:eastAsia="楷体_GB2312" w:cs="仿宋_GB2312"/>
          <w:color w:val="auto"/>
          <w:sz w:val="32"/>
          <w:szCs w:val="32"/>
        </w:rPr>
      </w:pPr>
      <w:r>
        <w:rPr>
          <w:rFonts w:hint="eastAsia" w:ascii="黑体" w:hAnsi="黑体" w:eastAsia="黑体" w:cs="黑体"/>
          <w:color w:val="auto"/>
          <w:sz w:val="32"/>
          <w:szCs w:val="32"/>
          <w:shd w:val="clear" w:color="auto" w:fill="FFFFFF"/>
          <w:lang w:val="en-US" w:eastAsia="zh-CN"/>
        </w:rPr>
        <w:t>五、</w:t>
      </w:r>
      <w:r>
        <w:rPr>
          <w:rFonts w:hint="eastAsia" w:ascii="黑体" w:hAnsi="黑体" w:eastAsia="黑体" w:cs="黑体"/>
          <w:color w:val="auto"/>
          <w:sz w:val="32"/>
          <w:szCs w:val="32"/>
          <w:shd w:val="clear" w:color="auto" w:fill="FFFFFF"/>
        </w:rPr>
        <w:t>存在的主要问题及改进情况</w:t>
      </w:r>
    </w:p>
    <w:p>
      <w:pPr>
        <w:widowControl/>
        <w:shd w:val="clear" w:color="auto" w:fill="FFFFFF"/>
        <w:spacing w:line="560" w:lineRule="exact"/>
        <w:ind w:firstLine="640" w:firstLineChars="200"/>
        <w:jc w:val="left"/>
        <w:rPr>
          <w:rFonts w:hint="eastAsia"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（一）202</w:t>
      </w:r>
      <w:r>
        <w:rPr>
          <w:rFonts w:hint="default" w:ascii="楷体_GB2312" w:hAnsi="仿宋_GB2312" w:eastAsia="楷体_GB2312" w:cs="仿宋_GB2312"/>
          <w:color w:val="auto"/>
          <w:sz w:val="32"/>
          <w:szCs w:val="32"/>
        </w:rPr>
        <w:t>1</w:t>
      </w:r>
      <w:r>
        <w:rPr>
          <w:rFonts w:hint="eastAsia" w:ascii="楷体_GB2312" w:hAnsi="仿宋_GB2312" w:eastAsia="楷体_GB2312" w:cs="仿宋_GB2312"/>
          <w:color w:val="auto"/>
          <w:sz w:val="32"/>
          <w:szCs w:val="32"/>
        </w:rPr>
        <w:t>年问题整改情况</w:t>
      </w:r>
    </w:p>
    <w:p>
      <w:pPr>
        <w:spacing w:line="560" w:lineRule="exact"/>
        <w:ind w:firstLine="643" w:firstLineChars="200"/>
        <w:rPr>
          <w:rFonts w:hint="eastAsia" w:ascii="仿宋_GB2312" w:eastAsia="仿宋_GB2312"/>
          <w:color w:val="auto"/>
          <w:sz w:val="32"/>
          <w:szCs w:val="32"/>
          <w:shd w:val="clear" w:color="auto" w:fill="FFFFFF"/>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val="en-US" w:eastAsia="zh-Hans"/>
        </w:rPr>
        <w:t>是加强学习，提升水平。</w:t>
      </w:r>
      <w:r>
        <w:rPr>
          <w:rFonts w:hint="eastAsia" w:ascii="仿宋_GB2312" w:eastAsia="仿宋_GB2312"/>
          <w:color w:val="auto"/>
          <w:sz w:val="32"/>
          <w:szCs w:val="32"/>
          <w:shd w:val="clear" w:color="auto" w:fill="FFFFFF"/>
        </w:rPr>
        <w:t>积极学习政务公开政策要求，不断提升我局政务公开整体工作水平，推动政务公开工作有力有序有效落地落实。</w:t>
      </w:r>
    </w:p>
    <w:p>
      <w:pPr>
        <w:spacing w:line="560" w:lineRule="exact"/>
        <w:ind w:firstLine="643" w:firstLineChars="200"/>
        <w:rPr>
          <w:rFonts w:hint="eastAsia" w:ascii="黑体" w:hAnsi="黑体" w:eastAsia="黑体" w:cs="仿宋_GB2312"/>
          <w:color w:val="auto"/>
          <w:sz w:val="32"/>
          <w:szCs w:val="32"/>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val="en-US" w:eastAsia="zh-Hans"/>
        </w:rPr>
        <w:t>是健全体制、落实责任。</w:t>
      </w:r>
      <w:r>
        <w:rPr>
          <w:rFonts w:hint="eastAsia" w:ascii="仿宋_GB2312" w:eastAsia="仿宋_GB2312"/>
          <w:color w:val="auto"/>
          <w:sz w:val="32"/>
          <w:szCs w:val="32"/>
          <w:shd w:val="clear" w:color="auto" w:fill="FFFFFF"/>
        </w:rPr>
        <w:t>强化政府信息公开工作领导小组各成员的职责，加强对政务公开工作的领导和监督，对局内文件、政务</w:t>
      </w:r>
      <w:r>
        <w:rPr>
          <w:rFonts w:hint="eastAsia" w:ascii="仿宋_GB2312" w:eastAsia="仿宋_GB2312"/>
          <w:color w:val="auto"/>
          <w:sz w:val="32"/>
          <w:szCs w:val="32"/>
          <w:shd w:val="clear" w:color="auto" w:fill="FFFFFF"/>
          <w:lang w:val="en-US" w:eastAsia="zh-CN"/>
        </w:rPr>
        <w:t>动态</w:t>
      </w:r>
      <w:r>
        <w:rPr>
          <w:rFonts w:hint="eastAsia" w:ascii="仿宋_GB2312" w:eastAsia="仿宋_GB2312"/>
          <w:color w:val="auto"/>
          <w:sz w:val="32"/>
          <w:szCs w:val="32"/>
          <w:shd w:val="clear" w:color="auto" w:fill="FFFFFF"/>
        </w:rPr>
        <w:t>等信息做到更及时上传、公开。</w:t>
      </w:r>
    </w:p>
    <w:p>
      <w:pPr>
        <w:spacing w:line="560" w:lineRule="exact"/>
        <w:ind w:firstLine="643" w:firstLineChars="200"/>
        <w:rPr>
          <w:rFonts w:hint="eastAsia" w:ascii="仿宋_GB2312" w:eastAsia="仿宋_GB2312"/>
          <w:color w:val="auto"/>
          <w:sz w:val="32"/>
          <w:szCs w:val="32"/>
          <w:shd w:val="clear" w:color="auto" w:fill="FFFFFF"/>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val="en-US" w:eastAsia="zh-Hans"/>
        </w:rPr>
        <w:t>是</w:t>
      </w:r>
      <w:r>
        <w:rPr>
          <w:rFonts w:hint="eastAsia" w:ascii="仿宋_GB2312" w:hAnsi="仿宋_GB2312" w:eastAsia="仿宋_GB2312" w:cs="仿宋_GB2312"/>
          <w:b/>
          <w:bCs/>
          <w:color w:val="auto"/>
          <w:sz w:val="32"/>
          <w:szCs w:val="32"/>
        </w:rPr>
        <w:t>提高站位，加强谋划。</w:t>
      </w:r>
      <w:r>
        <w:rPr>
          <w:rFonts w:hint="eastAsia" w:ascii="仿宋_GB2312" w:eastAsia="仿宋_GB2312"/>
          <w:color w:val="auto"/>
          <w:sz w:val="32"/>
          <w:szCs w:val="32"/>
          <w:shd w:val="clear" w:color="auto" w:fill="FFFFFF"/>
        </w:rPr>
        <w:t>聚焦城市管理、行政执法等职能工作和人民群众关注关心的重点问题，提前谋划，主动作为，增强公开实效，切实提升政务公开的质量和水平。</w:t>
      </w:r>
    </w:p>
    <w:p>
      <w:pPr>
        <w:pStyle w:val="2"/>
        <w:rPr>
          <w:color w:val="auto"/>
        </w:rPr>
      </w:pPr>
    </w:p>
    <w:p>
      <w:pPr>
        <w:widowControl/>
        <w:shd w:val="clear" w:color="auto" w:fill="FFFFFF"/>
        <w:spacing w:line="560" w:lineRule="exact"/>
        <w:ind w:firstLine="640"/>
        <w:jc w:val="left"/>
        <w:rPr>
          <w:rFonts w:hint="eastAsia"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（二）202</w:t>
      </w:r>
      <w:r>
        <w:rPr>
          <w:rFonts w:hint="default" w:ascii="楷体_GB2312" w:hAnsi="仿宋_GB2312" w:eastAsia="楷体_GB2312" w:cs="仿宋_GB2312"/>
          <w:color w:val="auto"/>
          <w:sz w:val="32"/>
          <w:szCs w:val="32"/>
        </w:rPr>
        <w:t>2</w:t>
      </w:r>
      <w:r>
        <w:rPr>
          <w:rFonts w:hint="eastAsia" w:ascii="楷体_GB2312" w:hAnsi="仿宋_GB2312" w:eastAsia="楷体_GB2312" w:cs="仿宋_GB2312"/>
          <w:color w:val="auto"/>
          <w:sz w:val="32"/>
          <w:szCs w:val="32"/>
        </w:rPr>
        <w:t>年存在的主要问题</w:t>
      </w:r>
      <w:r>
        <w:rPr>
          <w:rFonts w:hint="eastAsia" w:ascii="楷体_GB2312" w:hAnsi="仿宋_GB2312" w:eastAsia="楷体_GB2312" w:cs="仿宋_GB2312"/>
          <w:color w:val="auto"/>
          <w:sz w:val="32"/>
          <w:szCs w:val="32"/>
          <w:lang w:val="en-US" w:eastAsia="zh-CN"/>
        </w:rPr>
        <w:t>及改进情况</w:t>
      </w:r>
      <w:r>
        <w:rPr>
          <w:rFonts w:hint="eastAsia" w:ascii="楷体_GB2312" w:hAnsi="仿宋_GB2312" w:eastAsia="楷体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lang w:val="en" w:eastAsia="zh-CN"/>
        </w:rPr>
      </w:pPr>
      <w:r>
        <w:rPr>
          <w:rFonts w:hint="eastAsia" w:ascii="黑体" w:hAnsi="黑体" w:eastAsia="黑体" w:cs="黑体"/>
          <w:b/>
          <w:bCs/>
          <w:color w:val="auto"/>
          <w:sz w:val="32"/>
          <w:szCs w:val="32"/>
          <w:lang w:val="en" w:eastAsia="zh-CN"/>
        </w:rPr>
        <w:t>存在问题：</w:t>
      </w:r>
      <w:r>
        <w:rPr>
          <w:rFonts w:hint="eastAsia" w:ascii="仿宋_GB2312" w:hAnsi="仿宋_GB2312" w:eastAsia="仿宋_GB2312" w:cs="仿宋_GB2312"/>
          <w:color w:val="auto"/>
          <w:kern w:val="0"/>
          <w:sz w:val="32"/>
          <w:szCs w:val="32"/>
          <w:lang w:val="en" w:eastAsia="zh-CN"/>
        </w:rPr>
        <w:t>一是政府信息公开的渠道主要以网站和微信公众号为主，载体有待进一步拓宽，受众面和影响力有待提升。二是信息公开还不够及时，发布形式有待优化，时效有待进一步提升。</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b/>
          <w:bCs/>
          <w:color w:val="auto"/>
          <w:sz w:val="32"/>
          <w:szCs w:val="32"/>
          <w:lang w:val="en-US" w:eastAsia="zh-CN"/>
        </w:rPr>
        <w:t>改进措施：</w:t>
      </w:r>
      <w:r>
        <w:rPr>
          <w:rFonts w:hint="eastAsia" w:ascii="仿宋_GB2312" w:hAnsi="仿宋_GB2312" w:eastAsia="仿宋_GB2312" w:cs="仿宋_GB2312"/>
          <w:color w:val="auto"/>
          <w:kern w:val="0"/>
          <w:sz w:val="32"/>
          <w:szCs w:val="32"/>
          <w:lang w:val="en-US" w:eastAsia="zh-CN"/>
        </w:rPr>
        <w:t>一是健全完善政务公开体制机制，定期研究推进，创新载体和渠道，推动政府信息公开工作走深走实，提升覆盖面和影响力。二是提升政府信息公开专业能力。积极参加相关业务培训，及时总结工作过程中遇到的问题，提出切实可行的解决办法；细化工作分工，及时发布信息，利用丰富多样的形式加强政策解读等内容发布，进一步提升信息公开工作水平。</w:t>
      </w:r>
    </w:p>
    <w:p>
      <w:pPr>
        <w:spacing w:line="560" w:lineRule="exact"/>
        <w:ind w:firstLine="640" w:firstLineChars="200"/>
        <w:rPr>
          <w:rFonts w:ascii="黑体" w:hAnsi="黑体" w:eastAsia="黑体" w:cs="仿宋_GB2312"/>
          <w:color w:val="auto"/>
          <w:sz w:val="32"/>
          <w:szCs w:val="32"/>
        </w:rPr>
      </w:pPr>
      <w:r>
        <w:rPr>
          <w:rFonts w:hint="eastAsia" w:ascii="黑体" w:hAnsi="黑体" w:eastAsia="黑体" w:cs="仿宋_GB2312"/>
          <w:color w:val="auto"/>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楷体_GB2312" w:hAnsi="楷体_GB2312" w:eastAsia="楷体_GB2312" w:cs="楷体_GB2312"/>
          <w:color w:val="auto"/>
          <w:kern w:val="0"/>
          <w:sz w:val="32"/>
          <w:szCs w:val="32"/>
          <w:lang w:val="en-US" w:eastAsia="zh-CN" w:bidi="ar"/>
        </w:rPr>
        <w:t>（一）收取信息处理费的情况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年度未收取政府信息公开信息处理费，包括：检索费、复制费（含案卷材料复制费）、邮寄费。</w:t>
      </w:r>
    </w:p>
    <w:p>
      <w:pPr>
        <w:widowControl/>
        <w:numPr>
          <w:ilvl w:val="0"/>
          <w:numId w:val="0"/>
        </w:numPr>
        <w:shd w:val="clear" w:color="auto" w:fill="FFFFFF"/>
        <w:spacing w:line="560" w:lineRule="exact"/>
        <w:ind w:left="640" w:leftChars="0"/>
        <w:jc w:val="left"/>
        <w:rPr>
          <w:color w:val="auto"/>
        </w:rPr>
      </w:pPr>
      <w:r>
        <w:rPr>
          <w:rFonts w:hint="eastAsia" w:ascii="楷体_GB2312" w:hAnsi="楷体_GB2312" w:eastAsia="楷体_GB2312" w:cs="楷体_GB2312"/>
          <w:color w:val="auto"/>
          <w:kern w:val="0"/>
          <w:sz w:val="32"/>
          <w:szCs w:val="32"/>
          <w:lang w:val="en-US" w:eastAsia="zh-CN" w:bidi="ar"/>
        </w:rPr>
        <w:t>（二）落实安丘市202</w:t>
      </w:r>
      <w:r>
        <w:rPr>
          <w:rFonts w:hint="default" w:ascii="楷体_GB2312" w:hAnsi="楷体_GB2312" w:eastAsia="楷体_GB2312" w:cs="楷体_GB2312"/>
          <w:color w:val="auto"/>
          <w:kern w:val="0"/>
          <w:sz w:val="32"/>
          <w:szCs w:val="32"/>
          <w:lang w:eastAsia="zh-CN" w:bidi="ar"/>
        </w:rPr>
        <w:t>2</w:t>
      </w:r>
      <w:r>
        <w:rPr>
          <w:rFonts w:hint="eastAsia" w:ascii="楷体_GB2312" w:hAnsi="楷体_GB2312" w:eastAsia="楷体_GB2312" w:cs="楷体_GB2312"/>
          <w:color w:val="auto"/>
          <w:kern w:val="0"/>
          <w:sz w:val="32"/>
          <w:szCs w:val="32"/>
          <w:lang w:val="en-US" w:eastAsia="zh-CN" w:bidi="ar"/>
        </w:rPr>
        <w:t>年度政务公开工作要点情况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年，我局政府信息公开工作紧紧围绕市政府工作要求，认真贯彻落实有关规定，进一步做好法定主动公开栏目维护，提升基层政务公开标准化规范化水平，调整完善基层政务公开标准目录，确保政府信息公开各项工作落到实处。</w:t>
      </w:r>
    </w:p>
    <w:p>
      <w:pPr>
        <w:widowControl/>
        <w:shd w:val="clear" w:color="auto" w:fill="FFFFFF"/>
        <w:spacing w:line="560" w:lineRule="exact"/>
        <w:ind w:firstLine="640" w:firstLineChars="200"/>
        <w:jc w:val="left"/>
        <w:rPr>
          <w:rFonts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w:t>
      </w:r>
      <w:r>
        <w:rPr>
          <w:rFonts w:hint="eastAsia" w:ascii="楷体_GB2312" w:hAnsi="仿宋_GB2312" w:eastAsia="楷体_GB2312" w:cs="仿宋_GB2312"/>
          <w:color w:val="auto"/>
          <w:sz w:val="32"/>
          <w:szCs w:val="32"/>
          <w:lang w:val="en-US" w:eastAsia="zh-CN"/>
        </w:rPr>
        <w:t>三</w:t>
      </w:r>
      <w:r>
        <w:rPr>
          <w:rFonts w:hint="eastAsia" w:ascii="楷体_GB2312" w:hAnsi="仿宋_GB2312" w:eastAsia="楷体_GB2312" w:cs="仿宋_GB2312"/>
          <w:color w:val="auto"/>
          <w:sz w:val="32"/>
          <w:szCs w:val="32"/>
        </w:rPr>
        <w:t>）</w:t>
      </w:r>
      <w:r>
        <w:rPr>
          <w:rFonts w:hint="eastAsia" w:ascii="楷体_GB2312" w:hAnsi="楷体_GB2312" w:eastAsia="楷体_GB2312" w:cs="楷体_GB2312"/>
          <w:color w:val="auto"/>
          <w:kern w:val="0"/>
          <w:sz w:val="32"/>
          <w:szCs w:val="32"/>
          <w:lang w:val="en-US" w:eastAsia="zh-CN" w:bidi="ar"/>
        </w:rPr>
        <w:t>人大代表建议和政协委员提案办理结果公开情况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jc w:val="left"/>
        <w:textAlignment w:val="auto"/>
        <w:rPr>
          <w:rFonts w:hint="eastAsia" w:ascii="仿宋_GB2312" w:hAnsi="微软雅黑" w:eastAsia="仿宋_GB2312" w:cs="宋体"/>
          <w:color w:val="auto"/>
          <w:kern w:val="0"/>
          <w:sz w:val="32"/>
          <w:szCs w:val="32"/>
        </w:rPr>
      </w:pPr>
      <w:r>
        <w:rPr>
          <w:rFonts w:hint="eastAsia" w:ascii="仿宋_GB2312" w:hAnsi="仿宋_GB2312" w:eastAsia="仿宋_GB2312" w:cs="仿宋_GB2312"/>
          <w:color w:val="auto"/>
          <w:sz w:val="32"/>
          <w:szCs w:val="32"/>
        </w:rPr>
        <w:t>202</w:t>
      </w:r>
      <w:r>
        <w:rPr>
          <w:rFonts w:hint="default"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年度，我局受理人大建议</w:t>
      </w:r>
      <w:r>
        <w:rPr>
          <w:rFonts w:hint="default"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件采纳代表建议</w:t>
      </w:r>
      <w:r>
        <w:rPr>
          <w:rFonts w:hint="default"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件，满意程度100%。</w:t>
      </w:r>
      <w:bookmarkStart w:id="1" w:name="_Hlk93570741"/>
      <w:r>
        <w:rPr>
          <w:rFonts w:hint="eastAsia" w:ascii="仿宋_GB2312" w:hAnsi="仿宋_GB2312" w:eastAsia="仿宋_GB2312" w:cs="仿宋_GB2312"/>
          <w:color w:val="auto"/>
          <w:sz w:val="32"/>
          <w:szCs w:val="32"/>
        </w:rPr>
        <w:t>政协提案</w:t>
      </w:r>
      <w:bookmarkEnd w:id="1"/>
      <w:r>
        <w:rPr>
          <w:rFonts w:hint="eastAsia" w:ascii="仿宋_GB2312" w:hAnsi="仿宋_GB2312" w:eastAsia="仿宋_GB2312" w:cs="仿宋_GB2312"/>
          <w:color w:val="auto"/>
          <w:sz w:val="32"/>
          <w:szCs w:val="32"/>
        </w:rPr>
        <w:t>1</w:t>
      </w:r>
      <w:r>
        <w:rPr>
          <w:rFonts w:hint="default"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件已全部办理，采纳委员提案15件，剩余</w:t>
      </w:r>
      <w:r>
        <w:rPr>
          <w:rFonts w:hint="default"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件提案与相关法规规定不符、经与各提案委员沟通解释已得到各委员理解，不予以采纳，满意率100%。202</w:t>
      </w:r>
      <w:r>
        <w:rPr>
          <w:rFonts w:hint="default"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年我局</w:t>
      </w:r>
      <w:r>
        <w:rPr>
          <w:rFonts w:hint="eastAsia" w:ascii="仿宋_GB2312" w:hAnsi="微软雅黑" w:eastAsia="仿宋_GB2312" w:cs="宋体"/>
          <w:color w:val="auto"/>
          <w:kern w:val="0"/>
          <w:sz w:val="32"/>
          <w:szCs w:val="32"/>
        </w:rPr>
        <w:t>承办人大代表建议1件、</w:t>
      </w:r>
      <w:r>
        <w:rPr>
          <w:rFonts w:hint="eastAsia" w:ascii="仿宋_GB2312" w:hAnsi="仿宋_GB2312" w:eastAsia="仿宋_GB2312" w:cs="仿宋_GB2312"/>
          <w:color w:val="auto"/>
          <w:sz w:val="32"/>
          <w:szCs w:val="32"/>
        </w:rPr>
        <w:t>政协提案</w:t>
      </w:r>
      <w:r>
        <w:rPr>
          <w:rFonts w:hint="default" w:ascii="仿宋_GB2312" w:hAnsi="仿宋_GB2312" w:eastAsia="仿宋_GB2312" w:cs="仿宋_GB2312"/>
          <w:color w:val="auto"/>
          <w:sz w:val="32"/>
          <w:szCs w:val="32"/>
        </w:rPr>
        <w:t>19</w:t>
      </w:r>
      <w:r>
        <w:rPr>
          <w:rFonts w:hint="eastAsia" w:ascii="仿宋_GB2312" w:hAnsi="微软雅黑" w:eastAsia="仿宋_GB2312" w:cs="宋体"/>
          <w:color w:val="auto"/>
          <w:kern w:val="0"/>
          <w:sz w:val="32"/>
          <w:szCs w:val="32"/>
        </w:rPr>
        <w:t>件。相比去年增加</w:t>
      </w:r>
      <w:r>
        <w:rPr>
          <w:rFonts w:hint="eastAsia" w:ascii="仿宋_GB2312" w:hAnsi="微软雅黑" w:eastAsia="仿宋_GB2312" w:cs="宋体"/>
          <w:color w:val="auto"/>
          <w:kern w:val="0"/>
          <w:sz w:val="32"/>
          <w:szCs w:val="32"/>
          <w:lang w:val="en-US" w:eastAsia="zh-Hans"/>
        </w:rPr>
        <w:t>人大建议</w:t>
      </w:r>
      <w:r>
        <w:rPr>
          <w:rFonts w:hint="default" w:ascii="仿宋_GB2312" w:hAnsi="微软雅黑" w:eastAsia="仿宋_GB2312" w:cs="宋体"/>
          <w:color w:val="auto"/>
          <w:kern w:val="0"/>
          <w:sz w:val="32"/>
          <w:szCs w:val="32"/>
          <w:lang w:eastAsia="zh-Hans"/>
        </w:rPr>
        <w:t>8</w:t>
      </w:r>
      <w:r>
        <w:rPr>
          <w:rFonts w:hint="eastAsia" w:ascii="仿宋_GB2312" w:hAnsi="微软雅黑" w:eastAsia="仿宋_GB2312" w:cs="宋体"/>
          <w:color w:val="auto"/>
          <w:kern w:val="0"/>
          <w:sz w:val="32"/>
          <w:szCs w:val="32"/>
        </w:rPr>
        <w:t>件。</w:t>
      </w:r>
    </w:p>
    <w:p>
      <w:pPr>
        <w:widowControl/>
        <w:numPr>
          <w:ilvl w:val="0"/>
          <w:numId w:val="3"/>
        </w:numPr>
        <w:shd w:val="clear" w:color="auto" w:fill="FFFFFF"/>
        <w:spacing w:line="560" w:lineRule="exact"/>
        <w:ind w:firstLine="640" w:firstLineChars="200"/>
        <w:jc w:val="left"/>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安丘市综合行政执法局202</w:t>
      </w:r>
      <w:r>
        <w:rPr>
          <w:rFonts w:hint="default" w:ascii="楷体_GB2312" w:hAnsi="楷体_GB2312" w:eastAsia="楷体_GB2312" w:cs="楷体_GB2312"/>
          <w:color w:val="auto"/>
          <w:kern w:val="0"/>
          <w:sz w:val="32"/>
          <w:szCs w:val="32"/>
          <w:lang w:eastAsia="zh-CN" w:bidi="ar"/>
        </w:rPr>
        <w:t>2</w:t>
      </w:r>
      <w:r>
        <w:rPr>
          <w:rFonts w:hint="eastAsia" w:ascii="楷体_GB2312" w:hAnsi="楷体_GB2312" w:eastAsia="楷体_GB2312" w:cs="楷体_GB2312"/>
          <w:color w:val="auto"/>
          <w:kern w:val="0"/>
          <w:sz w:val="32"/>
          <w:szCs w:val="32"/>
          <w:lang w:val="en-US" w:eastAsia="zh-CN" w:bidi="ar"/>
        </w:rPr>
        <w:t>年度政务公开工作创新情况</w:t>
      </w:r>
    </w:p>
    <w:p>
      <w:pPr>
        <w:keepNext w:val="0"/>
        <w:keepLines w:val="0"/>
        <w:widowControl/>
        <w:suppressLineNumbers w:val="0"/>
        <w:jc w:val="left"/>
        <w:rPr>
          <w:rFonts w:hint="default"/>
          <w:color w:val="auto"/>
        </w:rPr>
      </w:pPr>
      <w:r>
        <w:rPr>
          <w:rFonts w:hint="eastAsia"/>
          <w:color w:val="auto"/>
          <w:lang w:val="en-US" w:eastAsia="zh-CN"/>
        </w:rPr>
        <w:t xml:space="preserve">  </w:t>
      </w: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eastAsia="zh-CN" w:bidi="ar-SA"/>
        </w:rPr>
        <w:t xml:space="preserve">  </w:t>
      </w:r>
      <w:r>
        <w:rPr>
          <w:rFonts w:hint="eastAsia" w:ascii="仿宋_GB2312" w:hAnsi="仿宋_GB2312" w:eastAsia="仿宋_GB2312" w:cs="仿宋_GB2312"/>
          <w:color w:val="auto"/>
          <w:sz w:val="32"/>
          <w:szCs w:val="32"/>
          <w:lang w:val="en-US" w:eastAsia="zh-CN"/>
        </w:rPr>
        <w:t>通过“城管开放日”活动促进政民交流，扩宽政务公开覆盖面，加快“城管零距离”服务品牌建设， 让城市管理工作走进老百姓心坎</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（五）安丘市综合行政执法局202</w:t>
      </w:r>
      <w:r>
        <w:rPr>
          <w:rFonts w:hint="default" w:ascii="楷体_GB2312" w:hAnsi="楷体_GB2312" w:eastAsia="楷体_GB2312" w:cs="楷体_GB2312"/>
          <w:color w:val="auto"/>
          <w:kern w:val="0"/>
          <w:sz w:val="32"/>
          <w:szCs w:val="32"/>
          <w:lang w:eastAsia="zh-CN" w:bidi="ar"/>
        </w:rPr>
        <w:t>2</w:t>
      </w:r>
      <w:r>
        <w:rPr>
          <w:rFonts w:hint="eastAsia" w:ascii="楷体_GB2312" w:hAnsi="楷体_GB2312" w:eastAsia="楷体_GB2312" w:cs="楷体_GB2312"/>
          <w:color w:val="auto"/>
          <w:kern w:val="0"/>
          <w:sz w:val="32"/>
          <w:szCs w:val="32"/>
          <w:lang w:val="en-US" w:eastAsia="zh-CN" w:bidi="ar"/>
        </w:rPr>
        <w:t>年度政府信息公开工作年度报告数据统计需要说明的事项</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本年度报告中所列各项数据的统计期限自202</w:t>
      </w:r>
      <w:r>
        <w:rPr>
          <w:rFonts w:hint="default"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年1月1日至202</w:t>
      </w:r>
      <w:r>
        <w:rPr>
          <w:rFonts w:hint="default"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年12月31日。</w:t>
      </w:r>
      <w:r>
        <w:rPr>
          <w:rFonts w:hint="eastAsia" w:ascii="仿宋_GB2312" w:hAnsi="仿宋_GB2312" w:eastAsia="仿宋_GB2312" w:cs="仿宋_GB2312"/>
          <w:color w:val="auto"/>
          <w:sz w:val="32"/>
          <w:szCs w:val="32"/>
          <w:shd w:val="clear" w:color="auto" w:fill="FFFFFF"/>
        </w:rPr>
        <w:t>本年度报告的电子版可在安丘市人民政府门户网站（http://www.anqiu.gov.cn/）下载。如对本报告有任何疑问，请与安丘市综合执法局联系，</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地址：</w:t>
      </w:r>
      <w:r>
        <w:rPr>
          <w:rFonts w:ascii="仿宋_GB2312" w:hAnsi="仿宋_GB2312" w:eastAsia="仿宋_GB2312" w:cs="仿宋_GB2312"/>
          <w:color w:val="auto"/>
          <w:sz w:val="32"/>
          <w:szCs w:val="32"/>
          <w:shd w:val="clear" w:color="auto" w:fill="FFFFFF"/>
        </w:rPr>
        <w:t>安丘市</w:t>
      </w:r>
      <w:r>
        <w:rPr>
          <w:rFonts w:hint="eastAsia" w:ascii="仿宋_GB2312" w:hAnsi="仿宋_GB2312" w:eastAsia="仿宋_GB2312" w:cs="仿宋_GB2312"/>
          <w:color w:val="auto"/>
          <w:sz w:val="32"/>
          <w:szCs w:val="32"/>
          <w:shd w:val="clear" w:color="auto" w:fill="FFFFFF"/>
          <w:lang w:val="en-US" w:eastAsia="zh-CN"/>
        </w:rPr>
        <w:t>兴安街道人民路502号</w:t>
      </w:r>
      <w:r>
        <w:rPr>
          <w:rFonts w:hint="eastAsia" w:ascii="仿宋_GB2312" w:hAnsi="仿宋_GB2312" w:eastAsia="仿宋_GB2312" w:cs="仿宋_GB2312"/>
          <w:color w:val="auto"/>
          <w:sz w:val="32"/>
          <w:szCs w:val="32"/>
          <w:shd w:val="clear" w:color="auto" w:fill="FFFFFF"/>
        </w:rPr>
        <w:t>，邮编：262100，电话：0536-</w:t>
      </w:r>
      <w:r>
        <w:rPr>
          <w:rFonts w:ascii="仿宋_GB2312" w:hAnsi="仿宋_GB2312" w:eastAsia="仿宋_GB2312" w:cs="仿宋_GB2312"/>
          <w:color w:val="auto"/>
          <w:sz w:val="32"/>
          <w:szCs w:val="32"/>
          <w:shd w:val="clear" w:color="auto" w:fill="FFFFFF"/>
        </w:rPr>
        <w:t>4291919</w:t>
      </w:r>
      <w:r>
        <w:rPr>
          <w:rFonts w:hint="eastAsia" w:ascii="仿宋_GB2312" w:hAnsi="仿宋_GB2312" w:eastAsia="仿宋_GB2312" w:cs="仿宋_GB2312"/>
          <w:color w:val="auto"/>
          <w:sz w:val="32"/>
          <w:szCs w:val="32"/>
          <w:shd w:val="clear" w:color="auto" w:fill="FFFFFF"/>
        </w:rPr>
        <w:t>，传真：0536-4231713，电子邮箱：</w:t>
      </w:r>
      <w:r>
        <w:rPr>
          <w:rFonts w:hint="eastAsia" w:ascii="仿宋_GB2312" w:hAnsi="仿宋_GB2312" w:eastAsia="仿宋_GB2312" w:cs="仿宋_GB2312"/>
          <w:color w:val="auto"/>
          <w:sz w:val="32"/>
          <w:szCs w:val="32"/>
          <w:u w:val="none"/>
          <w:shd w:val="clear" w:color="auto" w:fill="FFFFFF"/>
        </w:rPr>
        <w:t>aqcgzhk@wf.shandong.cn</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（六）安丘市综合行政执法局202</w:t>
      </w:r>
      <w:r>
        <w:rPr>
          <w:rFonts w:hint="default" w:ascii="楷体_GB2312" w:hAnsi="楷体_GB2312" w:eastAsia="楷体_GB2312" w:cs="楷体_GB2312"/>
          <w:color w:val="auto"/>
          <w:sz w:val="32"/>
          <w:szCs w:val="32"/>
          <w:lang w:eastAsia="zh-CN"/>
        </w:rPr>
        <w:t>2</w:t>
      </w:r>
      <w:r>
        <w:rPr>
          <w:rFonts w:hint="eastAsia" w:ascii="楷体_GB2312" w:hAnsi="楷体_GB2312" w:eastAsia="楷体_GB2312" w:cs="楷体_GB2312"/>
          <w:color w:val="auto"/>
          <w:sz w:val="32"/>
          <w:szCs w:val="32"/>
          <w:lang w:val="en-US" w:eastAsia="zh-CN"/>
        </w:rPr>
        <w:t>年度没有其他需要报告的事项。</w:t>
      </w:r>
    </w:p>
    <w:p>
      <w:pPr>
        <w:pStyle w:val="2"/>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（七）安丘市综合行政执法局本年度没有其他有关文件专门要求通过政府信息公开工作年度报告予以报告的事项。</w:t>
      </w:r>
    </w:p>
    <w:p>
      <w:pPr>
        <w:pStyle w:val="2"/>
        <w:rPr>
          <w:color w:val="auto"/>
        </w:rPr>
      </w:pPr>
    </w:p>
    <w:p>
      <w:pPr>
        <w:widowControl/>
        <w:shd w:val="clear" w:color="auto" w:fill="FFFFFF"/>
        <w:spacing w:line="560" w:lineRule="exact"/>
        <w:ind w:firstLine="640"/>
        <w:jc w:val="righ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xml:space="preserve"> </w:t>
      </w:r>
      <w:r>
        <w:rPr>
          <w:rFonts w:ascii="仿宋_GB2312" w:hAnsi="微软雅黑" w:eastAsia="仿宋_GB2312" w:cs="宋体"/>
          <w:color w:val="auto"/>
          <w:kern w:val="0"/>
          <w:sz w:val="32"/>
          <w:szCs w:val="32"/>
        </w:rPr>
        <w:t xml:space="preserve">                                          </w:t>
      </w:r>
    </w:p>
    <w:p>
      <w:pPr>
        <w:widowControl/>
        <w:shd w:val="clear" w:color="auto" w:fill="FFFFFF"/>
        <w:spacing w:line="560" w:lineRule="exact"/>
        <w:ind w:firstLine="640"/>
        <w:jc w:val="left"/>
        <w:rPr>
          <w:rFonts w:ascii="仿宋_GB2312" w:hAnsi="微软雅黑" w:eastAsia="仿宋_GB2312" w:cs="宋体"/>
          <w:color w:val="auto"/>
          <w:kern w:val="0"/>
          <w:sz w:val="32"/>
          <w:szCs w:val="32"/>
        </w:rPr>
      </w:pPr>
    </w:p>
    <w:p>
      <w:pPr>
        <w:widowControl/>
        <w:shd w:val="clear" w:color="auto" w:fill="FFFFFF"/>
        <w:spacing w:line="560" w:lineRule="exact"/>
        <w:ind w:firstLine="640"/>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xml:space="preserve"> </w:t>
      </w:r>
      <w:r>
        <w:rPr>
          <w:rFonts w:ascii="仿宋_GB2312" w:hAnsi="微软雅黑" w:eastAsia="仿宋_GB2312" w:cs="宋体"/>
          <w:color w:val="auto"/>
          <w:kern w:val="0"/>
          <w:sz w:val="32"/>
          <w:szCs w:val="32"/>
        </w:rPr>
        <w:t xml:space="preserve">                          </w:t>
      </w:r>
      <w:r>
        <w:rPr>
          <w:rFonts w:hint="eastAsia" w:ascii="仿宋_GB2312" w:hAnsi="微软雅黑" w:eastAsia="仿宋_GB2312" w:cs="宋体"/>
          <w:color w:val="auto"/>
          <w:kern w:val="0"/>
          <w:sz w:val="32"/>
          <w:szCs w:val="32"/>
        </w:rPr>
        <w:t>安丘市综合行政执法局</w:t>
      </w:r>
    </w:p>
    <w:p>
      <w:pPr>
        <w:widowControl/>
        <w:shd w:val="clear" w:color="auto" w:fill="FFFFFF"/>
        <w:spacing w:line="560" w:lineRule="exact"/>
        <w:ind w:right="640" w:firstLine="640"/>
        <w:jc w:val="right"/>
        <w:rPr>
          <w:rFonts w:ascii="仿宋_GB2312" w:hAnsi="微软雅黑" w:eastAsia="仿宋_GB2312" w:cs="宋体"/>
          <w:color w:val="auto"/>
          <w:kern w:val="0"/>
          <w:sz w:val="32"/>
          <w:szCs w:val="32"/>
        </w:rPr>
      </w:pPr>
      <w:bookmarkStart w:id="2" w:name="_GoBack"/>
      <w:bookmarkEnd w:id="2"/>
      <w:r>
        <w:rPr>
          <w:rFonts w:hint="eastAsia" w:ascii="仿宋_GB2312" w:hAnsi="微软雅黑" w:eastAsia="仿宋_GB2312" w:cs="宋体"/>
          <w:color w:val="auto"/>
          <w:kern w:val="0"/>
          <w:sz w:val="32"/>
          <w:szCs w:val="32"/>
          <w:lang w:val="en-US" w:eastAsia="zh-CN"/>
        </w:rPr>
        <w:t xml:space="preserve"> </w:t>
      </w:r>
      <w:r>
        <w:rPr>
          <w:rFonts w:hint="eastAsia" w:ascii="仿宋_GB2312" w:hAnsi="微软雅黑" w:eastAsia="仿宋_GB2312" w:cs="宋体"/>
          <w:color w:val="auto"/>
          <w:kern w:val="0"/>
          <w:sz w:val="32"/>
          <w:szCs w:val="32"/>
        </w:rPr>
        <w:t>2</w:t>
      </w:r>
      <w:r>
        <w:rPr>
          <w:rFonts w:ascii="仿宋_GB2312" w:hAnsi="微软雅黑" w:eastAsia="仿宋_GB2312" w:cs="宋体"/>
          <w:color w:val="auto"/>
          <w:kern w:val="0"/>
          <w:sz w:val="32"/>
          <w:szCs w:val="32"/>
        </w:rPr>
        <w:t>02</w:t>
      </w:r>
      <w:r>
        <w:rPr>
          <w:rFonts w:hint="eastAsia" w:ascii="仿宋_GB2312" w:hAnsi="微软雅黑" w:eastAsia="仿宋_GB2312" w:cs="宋体"/>
          <w:color w:val="auto"/>
          <w:kern w:val="0"/>
          <w:sz w:val="32"/>
          <w:szCs w:val="32"/>
          <w:lang w:val="en-US" w:eastAsia="zh-CN"/>
        </w:rPr>
        <w:t>3</w:t>
      </w:r>
      <w:r>
        <w:rPr>
          <w:rFonts w:hint="eastAsia" w:ascii="仿宋_GB2312" w:hAnsi="微软雅黑" w:eastAsia="仿宋_GB2312" w:cs="宋体"/>
          <w:color w:val="auto"/>
          <w:kern w:val="0"/>
          <w:sz w:val="32"/>
          <w:szCs w:val="32"/>
        </w:rPr>
        <w:t>年1月</w:t>
      </w:r>
      <w:r>
        <w:rPr>
          <w:rFonts w:hint="eastAsia" w:ascii="仿宋_GB2312" w:hAnsi="微软雅黑" w:eastAsia="仿宋_GB2312" w:cs="宋体"/>
          <w:color w:val="auto"/>
          <w:kern w:val="0"/>
          <w:sz w:val="32"/>
          <w:szCs w:val="32"/>
          <w:lang w:val="en-US" w:eastAsia="zh-CN"/>
        </w:rPr>
        <w:t>13</w:t>
      </w:r>
      <w:r>
        <w:rPr>
          <w:rFonts w:hint="eastAsia" w:ascii="仿宋_GB2312" w:hAnsi="微软雅黑" w:eastAsia="仿宋_GB2312" w:cs="宋体"/>
          <w:color w:val="auto"/>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E9749"/>
    <w:multiLevelType w:val="singleLevel"/>
    <w:tmpl w:val="9F8E9749"/>
    <w:lvl w:ilvl="0" w:tentative="0">
      <w:start w:val="1"/>
      <w:numFmt w:val="chineseCounting"/>
      <w:suff w:val="nothing"/>
      <w:lvlText w:val="（%1）"/>
      <w:lvlJc w:val="left"/>
      <w:rPr>
        <w:rFonts w:hint="eastAsia"/>
      </w:rPr>
    </w:lvl>
  </w:abstractNum>
  <w:abstractNum w:abstractNumId="1">
    <w:nsid w:val="CC068A26"/>
    <w:multiLevelType w:val="singleLevel"/>
    <w:tmpl w:val="CC068A26"/>
    <w:lvl w:ilvl="0" w:tentative="0">
      <w:start w:val="4"/>
      <w:numFmt w:val="chineseCounting"/>
      <w:suff w:val="nothing"/>
      <w:lvlText w:val="（%1）"/>
      <w:lvlJc w:val="left"/>
      <w:rPr>
        <w:rFonts w:hint="eastAsia"/>
      </w:rPr>
    </w:lvl>
  </w:abstractNum>
  <w:abstractNum w:abstractNumId="2">
    <w:nsid w:val="039976D7"/>
    <w:multiLevelType w:val="singleLevel"/>
    <w:tmpl w:val="039976D7"/>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hMzc2YTI5N2NhYzA2ZGU4ZTBkMWI5YjM3ZmM3YTkifQ=="/>
  </w:docVars>
  <w:rsids>
    <w:rsidRoot w:val="00F638E4"/>
    <w:rsid w:val="000143AC"/>
    <w:rsid w:val="0004232B"/>
    <w:rsid w:val="000520F5"/>
    <w:rsid w:val="000E5E61"/>
    <w:rsid w:val="00110370"/>
    <w:rsid w:val="00130444"/>
    <w:rsid w:val="00161120"/>
    <w:rsid w:val="00186AC6"/>
    <w:rsid w:val="00195369"/>
    <w:rsid w:val="001C1843"/>
    <w:rsid w:val="002558D5"/>
    <w:rsid w:val="0025668D"/>
    <w:rsid w:val="002611B5"/>
    <w:rsid w:val="002D4776"/>
    <w:rsid w:val="002E3055"/>
    <w:rsid w:val="00371F98"/>
    <w:rsid w:val="003C5B99"/>
    <w:rsid w:val="00405885"/>
    <w:rsid w:val="00411D41"/>
    <w:rsid w:val="00432810"/>
    <w:rsid w:val="00443F0D"/>
    <w:rsid w:val="004974B6"/>
    <w:rsid w:val="004F04CC"/>
    <w:rsid w:val="004F594E"/>
    <w:rsid w:val="005018F9"/>
    <w:rsid w:val="0050438B"/>
    <w:rsid w:val="00532064"/>
    <w:rsid w:val="00532296"/>
    <w:rsid w:val="00533208"/>
    <w:rsid w:val="00571E2C"/>
    <w:rsid w:val="005921C6"/>
    <w:rsid w:val="005954EA"/>
    <w:rsid w:val="00610818"/>
    <w:rsid w:val="00620F46"/>
    <w:rsid w:val="00695046"/>
    <w:rsid w:val="006B23B7"/>
    <w:rsid w:val="00704A90"/>
    <w:rsid w:val="007060C4"/>
    <w:rsid w:val="00715C83"/>
    <w:rsid w:val="007273E4"/>
    <w:rsid w:val="007704CC"/>
    <w:rsid w:val="007939EC"/>
    <w:rsid w:val="007D6F97"/>
    <w:rsid w:val="007F1A0D"/>
    <w:rsid w:val="007F61E9"/>
    <w:rsid w:val="00841E2B"/>
    <w:rsid w:val="008555EA"/>
    <w:rsid w:val="008560CC"/>
    <w:rsid w:val="008819AC"/>
    <w:rsid w:val="00891A10"/>
    <w:rsid w:val="008B44C5"/>
    <w:rsid w:val="00947EA7"/>
    <w:rsid w:val="009570C2"/>
    <w:rsid w:val="009C56E9"/>
    <w:rsid w:val="009F099B"/>
    <w:rsid w:val="00A25B75"/>
    <w:rsid w:val="00A33146"/>
    <w:rsid w:val="00AA409F"/>
    <w:rsid w:val="00AA553E"/>
    <w:rsid w:val="00AD1D71"/>
    <w:rsid w:val="00AE231B"/>
    <w:rsid w:val="00B04C4D"/>
    <w:rsid w:val="00B07624"/>
    <w:rsid w:val="00B11624"/>
    <w:rsid w:val="00B4443A"/>
    <w:rsid w:val="00B709D1"/>
    <w:rsid w:val="00B96317"/>
    <w:rsid w:val="00BA523C"/>
    <w:rsid w:val="00BB08FF"/>
    <w:rsid w:val="00BB4DD7"/>
    <w:rsid w:val="00BC0CDA"/>
    <w:rsid w:val="00BC5B1A"/>
    <w:rsid w:val="00BF4AE6"/>
    <w:rsid w:val="00C13C1A"/>
    <w:rsid w:val="00C26511"/>
    <w:rsid w:val="00C51CFD"/>
    <w:rsid w:val="00CB366F"/>
    <w:rsid w:val="00D0662C"/>
    <w:rsid w:val="00D41D0C"/>
    <w:rsid w:val="00D52A73"/>
    <w:rsid w:val="00D97F35"/>
    <w:rsid w:val="00DA02F8"/>
    <w:rsid w:val="00DD2136"/>
    <w:rsid w:val="00DD2BF1"/>
    <w:rsid w:val="00DE0A05"/>
    <w:rsid w:val="00DE25CC"/>
    <w:rsid w:val="00E02EF8"/>
    <w:rsid w:val="00E12DBD"/>
    <w:rsid w:val="00E64290"/>
    <w:rsid w:val="00E875E0"/>
    <w:rsid w:val="00E968C7"/>
    <w:rsid w:val="00E97F26"/>
    <w:rsid w:val="00EC5924"/>
    <w:rsid w:val="00F20157"/>
    <w:rsid w:val="00F27321"/>
    <w:rsid w:val="00F4010D"/>
    <w:rsid w:val="00F554B7"/>
    <w:rsid w:val="00F638E4"/>
    <w:rsid w:val="00F67D65"/>
    <w:rsid w:val="00F71483"/>
    <w:rsid w:val="00F7169F"/>
    <w:rsid w:val="00FC483F"/>
    <w:rsid w:val="00FD16BD"/>
    <w:rsid w:val="00FE2E3C"/>
    <w:rsid w:val="00FF398C"/>
    <w:rsid w:val="0508742E"/>
    <w:rsid w:val="06846D8D"/>
    <w:rsid w:val="08DD2E31"/>
    <w:rsid w:val="09680C0B"/>
    <w:rsid w:val="0AAD43E6"/>
    <w:rsid w:val="0D3E3AC5"/>
    <w:rsid w:val="11C75D80"/>
    <w:rsid w:val="157E0F46"/>
    <w:rsid w:val="1586774A"/>
    <w:rsid w:val="15A8039B"/>
    <w:rsid w:val="166F75DA"/>
    <w:rsid w:val="16FF0803"/>
    <w:rsid w:val="1C903CCB"/>
    <w:rsid w:val="1E1C59CE"/>
    <w:rsid w:val="1E8474D2"/>
    <w:rsid w:val="21B6759C"/>
    <w:rsid w:val="21EC405A"/>
    <w:rsid w:val="324B7DFE"/>
    <w:rsid w:val="379628C4"/>
    <w:rsid w:val="3ABE1B0D"/>
    <w:rsid w:val="4162534B"/>
    <w:rsid w:val="435E44D2"/>
    <w:rsid w:val="45103559"/>
    <w:rsid w:val="4D245859"/>
    <w:rsid w:val="4DF201FB"/>
    <w:rsid w:val="4FC0394C"/>
    <w:rsid w:val="56334305"/>
    <w:rsid w:val="58F5279F"/>
    <w:rsid w:val="59EA6500"/>
    <w:rsid w:val="5BF32EFE"/>
    <w:rsid w:val="5CC54D71"/>
    <w:rsid w:val="5CE62531"/>
    <w:rsid w:val="5FE707B8"/>
    <w:rsid w:val="61354081"/>
    <w:rsid w:val="628D3785"/>
    <w:rsid w:val="637500CA"/>
    <w:rsid w:val="6850354E"/>
    <w:rsid w:val="69604B91"/>
    <w:rsid w:val="6A332A98"/>
    <w:rsid w:val="6F800BBD"/>
    <w:rsid w:val="70E0196D"/>
    <w:rsid w:val="71612F70"/>
    <w:rsid w:val="71BE777B"/>
    <w:rsid w:val="727368E9"/>
    <w:rsid w:val="762B73A9"/>
    <w:rsid w:val="79FF3763"/>
    <w:rsid w:val="79FF3F5E"/>
    <w:rsid w:val="7B84509D"/>
    <w:rsid w:val="7B9F223E"/>
    <w:rsid w:val="7E3A287F"/>
    <w:rsid w:val="7E50066B"/>
    <w:rsid w:val="7EBB576E"/>
    <w:rsid w:val="7FFF1FF6"/>
    <w:rsid w:val="B5B7C45D"/>
    <w:rsid w:val="CF3F4662"/>
    <w:rsid w:val="DDAF7E4B"/>
    <w:rsid w:val="FDFC8CAC"/>
    <w:rsid w:val="FFEE2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link w:val="14"/>
    <w:qFormat/>
    <w:uiPriority w:val="0"/>
    <w:pPr>
      <w:jc w:val="left"/>
    </w:pPr>
    <w:rPr>
      <w:rFonts w:ascii="Calibri" w:hAnsi="Calibri" w:eastAsia="宋体" w:cs="Times New Roman"/>
      <w:szCs w:val="24"/>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FollowedHyperlink"/>
    <w:basedOn w:val="9"/>
    <w:semiHidden/>
    <w:unhideWhenUsed/>
    <w:qFormat/>
    <w:uiPriority w:val="99"/>
    <w:rPr>
      <w:rFonts w:hint="eastAsia" w:ascii="微软雅黑" w:hAnsi="微软雅黑" w:eastAsia="微软雅黑" w:cs="微软雅黑"/>
      <w:color w:val="800080"/>
      <w:u w:val="none"/>
    </w:rPr>
  </w:style>
  <w:style w:type="character" w:styleId="12">
    <w:name w:val="Hyperlink"/>
    <w:basedOn w:val="9"/>
    <w:semiHidden/>
    <w:unhideWhenUsed/>
    <w:qFormat/>
    <w:uiPriority w:val="99"/>
    <w:rPr>
      <w:rFonts w:ascii="微软雅黑" w:hAnsi="微软雅黑" w:eastAsia="微软雅黑" w:cs="微软雅黑"/>
      <w:color w:val="0000FF"/>
      <w:u w:val="none"/>
    </w:rPr>
  </w:style>
  <w:style w:type="character" w:styleId="13">
    <w:name w:val="annotation reference"/>
    <w:basedOn w:val="9"/>
    <w:semiHidden/>
    <w:unhideWhenUsed/>
    <w:qFormat/>
    <w:uiPriority w:val="99"/>
    <w:rPr>
      <w:sz w:val="21"/>
      <w:szCs w:val="21"/>
    </w:rPr>
  </w:style>
  <w:style w:type="character" w:customStyle="1" w:styleId="14">
    <w:name w:val="批注文字 字符"/>
    <w:basedOn w:val="9"/>
    <w:link w:val="4"/>
    <w:qFormat/>
    <w:uiPriority w:val="0"/>
    <w:rPr>
      <w:rFonts w:ascii="Calibri" w:hAnsi="Calibri" w:eastAsia="宋体" w:cs="Times New Roman"/>
      <w:szCs w:val="24"/>
    </w:rPr>
  </w:style>
  <w:style w:type="paragraph" w:styleId="15">
    <w:name w:val="List Paragraph"/>
    <w:basedOn w:val="1"/>
    <w:qFormat/>
    <w:uiPriority w:val="34"/>
    <w:pPr>
      <w:ind w:firstLine="420" w:firstLineChars="200"/>
    </w:pPr>
  </w:style>
  <w:style w:type="character" w:customStyle="1" w:styleId="16">
    <w:name w:val="标题 3 字符"/>
    <w:basedOn w:val="9"/>
    <w:link w:val="3"/>
    <w:semiHidden/>
    <w:qFormat/>
    <w:uiPriority w:val="9"/>
    <w:rPr>
      <w:b/>
      <w:bCs/>
      <w:sz w:val="32"/>
      <w:szCs w:val="32"/>
    </w:rPr>
  </w:style>
  <w:style w:type="character" w:customStyle="1" w:styleId="17">
    <w:name w:val="页眉 字符"/>
    <w:basedOn w:val="9"/>
    <w:link w:val="6"/>
    <w:qFormat/>
    <w:uiPriority w:val="99"/>
    <w:rPr>
      <w:sz w:val="18"/>
      <w:szCs w:val="18"/>
    </w:rPr>
  </w:style>
  <w:style w:type="character" w:customStyle="1" w:styleId="18">
    <w:name w:val="页脚 字符"/>
    <w:basedOn w:val="9"/>
    <w:link w:val="5"/>
    <w:qFormat/>
    <w:uiPriority w:val="99"/>
    <w:rPr>
      <w:sz w:val="18"/>
      <w:szCs w:val="18"/>
    </w:rPr>
  </w:style>
  <w:style w:type="paragraph" w:customStyle="1" w:styleId="19">
    <w:name w:val="普通(网站) Char"/>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20">
    <w:name w:val="hover12"/>
    <w:basedOn w:val="9"/>
    <w:qFormat/>
    <w:uiPriority w:val="0"/>
    <w:rPr>
      <w:shd w:val="clear" w:fill="003D96"/>
    </w:rPr>
  </w:style>
  <w:style w:type="character" w:customStyle="1" w:styleId="21">
    <w:name w:val="hover11"/>
    <w:basedOn w:val="9"/>
    <w:qFormat/>
    <w:uiPriority w:val="0"/>
    <w:rPr>
      <w:shd w:val="clear" w:fill="003D9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t" anchorCtr="1"/>
          <a:lstStyle/>
          <a:p>
            <a:pPr defTabSz="914400">
              <a:defRPr lang="zh-CN" sz="1400" b="0" i="0" u="none" strike="noStrike" kern="1200" spc="0" baseline="0">
                <a:solidFill>
                  <a:schemeClr val="tx1">
                    <a:lumMod val="65000"/>
                    <a:lumOff val="35000"/>
                  </a:schemeClr>
                </a:solidFill>
                <a:latin typeface="+mn-lt"/>
                <a:ea typeface="+mn-ea"/>
                <a:cs typeface="+mn-cs"/>
              </a:defRPr>
            </a:pPr>
            <a:r>
              <a:t>近年来我单位收到政府信息公开申请变化情况表</a:t>
            </a:r>
          </a:p>
        </c:rich>
      </c:tx>
      <c:layout>
        <c:manualLayout>
          <c:xMode val="edge"/>
          <c:yMode val="edge"/>
          <c:x val="0.149409461616427"/>
          <c:y val="0.0331664683338045"/>
        </c:manualLayout>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delete val="1"/>
          </c:dLbls>
          <c:cat>
            <c:strRef>
              <c:f>[工作簿1]Sheet1!$A$1:$E$1</c:f>
              <c:strCache>
                <c:ptCount val="5"/>
                <c:pt idx="0">
                  <c:v>2018年</c:v>
                </c:pt>
                <c:pt idx="1">
                  <c:v>2019年</c:v>
                </c:pt>
                <c:pt idx="2">
                  <c:v>2020年</c:v>
                </c:pt>
                <c:pt idx="3">
                  <c:v>2021年</c:v>
                </c:pt>
                <c:pt idx="4">
                  <c:v>2022年</c:v>
                </c:pt>
              </c:strCache>
            </c:strRef>
          </c:cat>
          <c:val>
            <c:numRef>
              <c:f>[工作簿1]Sheet1!$A$2:$E$2</c:f>
              <c:numCache>
                <c:formatCode>General</c:formatCode>
                <c:ptCount val="5"/>
                <c:pt idx="0">
                  <c:v>0</c:v>
                </c:pt>
                <c:pt idx="1">
                  <c:v>0</c:v>
                </c:pt>
                <c:pt idx="2">
                  <c:v>3</c:v>
                </c:pt>
                <c:pt idx="3">
                  <c:v>1</c:v>
                </c:pt>
                <c:pt idx="4">
                  <c:v>1</c:v>
                </c:pt>
              </c:numCache>
            </c:numRef>
          </c:val>
          <c:smooth val="0"/>
        </c:ser>
        <c:dLbls>
          <c:showLegendKey val="0"/>
          <c:showVal val="0"/>
          <c:showCatName val="0"/>
          <c:showSerName val="0"/>
          <c:showPercent val="0"/>
          <c:showBubbleSize val="0"/>
        </c:dLbls>
        <c:marker val="0"/>
        <c:smooth val="0"/>
        <c:axId val="672894954"/>
        <c:axId val="379228466"/>
      </c:lineChart>
      <c:catAx>
        <c:axId val="6728949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9228466"/>
        <c:crosses val="autoZero"/>
        <c:auto val="1"/>
        <c:lblAlgn val="ctr"/>
        <c:lblOffset val="100"/>
        <c:noMultiLvlLbl val="0"/>
      </c:catAx>
      <c:valAx>
        <c:axId val="3792284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289495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3368</Words>
  <Characters>3565</Characters>
  <Lines>29</Lines>
  <Paragraphs>8</Paragraphs>
  <TotalTime>2</TotalTime>
  <ScaleCrop>false</ScaleCrop>
  <LinksUpToDate>false</LinksUpToDate>
  <CharactersWithSpaces>3657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2022-01-19T16:42:00Z</dcterms:created>
  <dc:creator>公室</dc:creator>
  <cp:lastModifiedBy>白敬亭在办公</cp:lastModifiedBy>
  <cp:lastPrinted>2022-01-21T14:51:00Z</cp:lastPrinted>
  <dcterms:modified xsi:type="dcterms:W3CDTF">2023-01-30T07:52:17Z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3BC0C3BFEE934389A99AC5EFFD4F355A</vt:lpwstr>
  </property>
</Properties>
</file>