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outlineLvl w:val="0"/>
        <w:rPr>
          <w:rFonts w:ascii="方正小标宋简体" w:hAnsi="黑体" w:eastAsia="方正小标宋简体" w:cs="宋体"/>
          <w:color w:val="000000" w:themeColor="text1"/>
          <w:kern w:val="36"/>
          <w:sz w:val="44"/>
          <w:szCs w:val="44"/>
          <w14:textFill>
            <w14:solidFill>
              <w14:schemeClr w14:val="tx1"/>
            </w14:solidFill>
          </w14:textFill>
        </w:rPr>
      </w:pPr>
      <w:r>
        <w:rPr>
          <w:rFonts w:hint="eastAsia" w:ascii="方正小标宋简体" w:hAnsi="黑体" w:eastAsia="方正小标宋简体" w:cs="宋体"/>
          <w:color w:val="000000" w:themeColor="text1"/>
          <w:kern w:val="36"/>
          <w:sz w:val="44"/>
          <w:szCs w:val="44"/>
          <w14:textFill>
            <w14:solidFill>
              <w14:schemeClr w14:val="tx1"/>
            </w14:solidFill>
          </w14:textFill>
        </w:rPr>
        <w:t>安丘市综合行政执法局</w:t>
      </w:r>
    </w:p>
    <w:p>
      <w:pPr>
        <w:widowControl/>
        <w:shd w:val="clear" w:color="auto" w:fill="FFFFFF"/>
        <w:spacing w:line="560" w:lineRule="exact"/>
        <w:jc w:val="center"/>
        <w:outlineLvl w:val="0"/>
        <w:rPr>
          <w:rFonts w:ascii="方正小标宋简体" w:hAnsi="黑体" w:eastAsia="方正小标宋简体" w:cs="宋体"/>
          <w:color w:val="000000" w:themeColor="text1"/>
          <w:kern w:val="36"/>
          <w:sz w:val="44"/>
          <w:szCs w:val="44"/>
          <w14:textFill>
            <w14:solidFill>
              <w14:schemeClr w14:val="tx1"/>
            </w14:solidFill>
          </w14:textFill>
        </w:rPr>
      </w:pPr>
      <w:r>
        <w:rPr>
          <w:rFonts w:hint="eastAsia" w:ascii="方正小标宋简体" w:hAnsi="黑体" w:eastAsia="方正小标宋简体" w:cs="宋体"/>
          <w:color w:val="000000" w:themeColor="text1"/>
          <w:kern w:val="36"/>
          <w:sz w:val="44"/>
          <w:szCs w:val="44"/>
          <w14:textFill>
            <w14:solidFill>
              <w14:schemeClr w14:val="tx1"/>
            </w14:solidFill>
          </w14:textFill>
        </w:rPr>
        <w:t>2021年政府信息公开工作年度报告</w:t>
      </w:r>
    </w:p>
    <w:p>
      <w:pPr>
        <w:widowControl/>
        <w:shd w:val="clear" w:color="auto" w:fill="FFFFFF"/>
        <w:spacing w:line="560" w:lineRule="exact"/>
        <w:jc w:val="center"/>
        <w:outlineLvl w:val="0"/>
        <w:rPr>
          <w:rFonts w:ascii="方正小标宋简体" w:hAnsi="黑体" w:eastAsia="方正小标宋简体" w:cs="宋体"/>
          <w:b/>
          <w:bCs/>
          <w:color w:val="000000" w:themeColor="text1"/>
          <w:kern w:val="36"/>
          <w:sz w:val="44"/>
          <w:szCs w:val="44"/>
          <w14:textFill>
            <w14:solidFill>
              <w14:schemeClr w14:val="tx1"/>
            </w14:solidFill>
          </w14:textFill>
        </w:rPr>
      </w:pPr>
    </w:p>
    <w:p>
      <w:pPr>
        <w:spacing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numPr>
          <w:ilvl w:val="0"/>
          <w:numId w:val="1"/>
        </w:numPr>
        <w:spacing w:line="560" w:lineRule="exact"/>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总体情况</w:t>
      </w:r>
    </w:p>
    <w:p>
      <w:pPr>
        <w:spacing w:line="560" w:lineRule="exact"/>
        <w:ind w:firstLine="640" w:firstLineChars="200"/>
        <w:rPr>
          <w:rFonts w:ascii="仿宋_GB2312" w:hAnsi="仿宋_GB2312" w:eastAsia="仿宋_GB2312" w:cs="仿宋_GB2312"/>
          <w:color w:val="333333"/>
          <w:sz w:val="32"/>
          <w:szCs w:val="32"/>
          <w:shd w:val="clear" w:color="auto" w:fill="FFFFFF"/>
        </w:rPr>
      </w:pPr>
      <w:bookmarkStart w:id="0" w:name="_Hlk93331416"/>
      <w:r>
        <w:rPr>
          <w:rFonts w:hint="eastAsia" w:ascii="仿宋_GB2312" w:hAnsi="仿宋_GB2312" w:eastAsia="仿宋_GB2312" w:cs="仿宋_GB2312"/>
          <w:color w:val="333333"/>
          <w:sz w:val="32"/>
          <w:szCs w:val="32"/>
          <w:shd w:val="clear" w:color="auto" w:fill="FFFFFF"/>
        </w:rPr>
        <w:t>202</w:t>
      </w:r>
      <w:r>
        <w:rPr>
          <w:rFonts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rPr>
        <w:t>年度，我局按照安丘市政府办公室的要求，着力建立健全信息公开工作体系，在扩大公众知情权、满足公众信息需求方面取得了较好成效。</w:t>
      </w:r>
    </w:p>
    <w:bookmarkEnd w:id="0"/>
    <w:p>
      <w:pPr>
        <w:numPr>
          <w:ilvl w:val="0"/>
          <w:numId w:val="2"/>
        </w:numPr>
        <w:spacing w:line="560" w:lineRule="exact"/>
        <w:rPr>
          <w:rFonts w:ascii="楷体_GB2312" w:hAnsi="仿宋_GB2312" w:eastAsia="楷体_GB2312" w:cs="仿宋_GB2312"/>
          <w:color w:val="333333"/>
          <w:sz w:val="32"/>
          <w:szCs w:val="32"/>
          <w:shd w:val="clear" w:color="auto" w:fill="FFFFFF"/>
        </w:rPr>
      </w:pPr>
      <w:r>
        <w:rPr>
          <w:rFonts w:hint="eastAsia" w:ascii="楷体_GB2312" w:hAnsi="仿宋_GB2312" w:eastAsia="楷体_GB2312" w:cs="仿宋_GB2312"/>
          <w:color w:val="333333"/>
          <w:sz w:val="32"/>
          <w:szCs w:val="32"/>
          <w:shd w:val="clear" w:color="auto" w:fill="FFFFFF"/>
        </w:rPr>
        <w:t>主动公开</w:t>
      </w:r>
    </w:p>
    <w:p>
      <w:pPr>
        <w:keepNext w:val="0"/>
        <w:keepLines w:val="0"/>
        <w:pageBreakBefore w:val="0"/>
        <w:widowControl w:val="0"/>
        <w:numPr>
          <w:ilvl w:val="0"/>
          <w:numId w:val="3"/>
        </w:numPr>
        <w:suppressLineNumbers w:val="0"/>
        <w:kinsoku/>
        <w:wordWrap/>
        <w:overflowPunct/>
        <w:topLinePunct w:val="0"/>
        <w:autoSpaceDE w:val="0"/>
        <w:autoSpaceDN/>
        <w:bidi w:val="0"/>
        <w:adjustRightInd/>
        <w:snapToGrid/>
        <w:spacing w:beforeAutospacing="0" w:afterAutospacing="0" w:line="560" w:lineRule="exact"/>
        <w:ind w:left="0" w:firstLine="643" w:firstLineChars="200"/>
        <w:textAlignment w:val="auto"/>
        <w:rPr>
          <w:rFonts w:hint="eastAsia" w:ascii="仿宋_GB2312" w:hAnsi="仿宋" w:eastAsia="仿宋_GB2312" w:cs="仿宋_GB2312"/>
          <w:b/>
          <w:bCs/>
          <w:color w:val="auto"/>
          <w:kern w:val="2"/>
          <w:sz w:val="32"/>
          <w:szCs w:val="32"/>
        </w:rPr>
      </w:pPr>
      <w:r>
        <w:rPr>
          <w:rFonts w:hint="eastAsia" w:ascii="仿宋_GB2312" w:hAnsi="仿宋" w:eastAsia="仿宋_GB2312" w:cs="仿宋_GB2312"/>
          <w:b/>
          <w:bCs/>
          <w:color w:val="auto"/>
          <w:kern w:val="2"/>
          <w:sz w:val="32"/>
          <w:szCs w:val="32"/>
        </w:rPr>
        <w:t>体制机制建设情况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exact"/>
        <w:ind w:left="0" w:right="0" w:firstLine="641"/>
        <w:jc w:val="left"/>
        <w:rPr>
          <w:rFonts w:ascii="仿宋_GB2312" w:hAnsi="微软雅黑" w:eastAsia="仿宋_GB2312" w:cs="仿宋_GB2312"/>
          <w:color w:val="auto"/>
          <w:spacing w:val="0"/>
          <w:sz w:val="32"/>
          <w:szCs w:val="32"/>
        </w:rPr>
      </w:pPr>
      <w:r>
        <w:rPr>
          <w:rFonts w:ascii="仿宋_GB2312" w:hAnsi="微软雅黑" w:eastAsia="仿宋_GB2312" w:cs="仿宋_GB2312"/>
          <w:color w:val="auto"/>
          <w:spacing w:val="0"/>
          <w:sz w:val="32"/>
          <w:szCs w:val="32"/>
        </w:rPr>
        <w:t>成立政务公开领导小组</w:t>
      </w:r>
      <w:r>
        <w:rPr>
          <w:rFonts w:hint="eastAsia" w:ascii="仿宋_GB2312" w:hAnsi="微软雅黑" w:eastAsia="仿宋_GB2312" w:cs="仿宋_GB2312"/>
          <w:color w:val="auto"/>
          <w:spacing w:val="0"/>
          <w:sz w:val="32"/>
          <w:szCs w:val="32"/>
          <w:lang w:eastAsia="zh-CN"/>
        </w:rPr>
        <w:t>、</w:t>
      </w:r>
      <w:r>
        <w:rPr>
          <w:rFonts w:hint="eastAsia" w:ascii="仿宋_GB2312" w:hAnsi="微软雅黑" w:eastAsia="仿宋_GB2312" w:cs="仿宋_GB2312"/>
          <w:color w:val="auto"/>
          <w:spacing w:val="0"/>
          <w:sz w:val="32"/>
          <w:szCs w:val="32"/>
          <w:lang w:val="en-US" w:eastAsia="zh-CN"/>
        </w:rPr>
        <w:t>明确责任分工、制定政务公开目录，保障政务公开工作顺利开展，落实责任追究。</w:t>
      </w:r>
    </w:p>
    <w:p>
      <w:pPr>
        <w:pStyle w:val="1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3" w:firstLineChars="200"/>
        <w:textAlignment w:val="auto"/>
        <w:rPr>
          <w:rFonts w:hint="default"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2.主动公开信息情况</w:t>
      </w:r>
    </w:p>
    <w:p>
      <w:pPr>
        <w:pStyle w:val="1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textAlignment w:val="auto"/>
        <w:rPr>
          <w:rFonts w:hint="eastAsia" w:ascii="仿宋_GB2312" w:eastAsia="仿宋_GB2312" w:cs="仿宋_GB2312"/>
          <w:kern w:val="0"/>
          <w:sz w:val="32"/>
          <w:szCs w:val="32"/>
          <w:lang w:eastAsia="zh-CN"/>
        </w:rPr>
      </w:pPr>
      <w:r>
        <w:rPr>
          <w:rFonts w:hint="eastAsia" w:ascii="仿宋_GB2312" w:hAnsi="微软雅黑" w:eastAsia="仿宋_GB2312" w:cs="宋体"/>
          <w:color w:val="333333"/>
          <w:kern w:val="0"/>
          <w:sz w:val="32"/>
          <w:szCs w:val="32"/>
        </w:rPr>
        <w:t>按照</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中华人民共和国</w:t>
      </w:r>
      <w:r>
        <w:rPr>
          <w:rFonts w:hint="eastAsia" w:ascii="仿宋_GB2312" w:hAnsi="微软雅黑" w:eastAsia="仿宋_GB2312" w:cs="宋体"/>
          <w:color w:val="auto"/>
          <w:kern w:val="0"/>
          <w:sz w:val="32"/>
          <w:szCs w:val="32"/>
        </w:rPr>
        <w:t>政府信息公开条例》第二十条</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lang w:val="en-US" w:eastAsia="zh-CN"/>
        </w:rPr>
        <w:t>第二十一条</w:t>
      </w:r>
      <w:r>
        <w:rPr>
          <w:rFonts w:hint="eastAsia" w:ascii="仿宋_GB2312" w:hAnsi="微软雅黑" w:eastAsia="仿宋_GB2312" w:cs="宋体"/>
          <w:color w:val="auto"/>
          <w:kern w:val="0"/>
          <w:sz w:val="32"/>
          <w:szCs w:val="32"/>
        </w:rPr>
        <w:t>要求对机关职能、机构设置、办公地址、办公时间、联系方式、负责人姓名及时进行了公示</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rPr>
        <w:t>按季度</w:t>
      </w:r>
      <w:r>
        <w:rPr>
          <w:rFonts w:hint="eastAsia" w:ascii="仿宋_GB2312" w:hAnsi="微软雅黑" w:eastAsia="仿宋_GB2312" w:cs="宋体"/>
          <w:color w:val="auto"/>
          <w:kern w:val="0"/>
          <w:sz w:val="32"/>
          <w:szCs w:val="32"/>
          <w:lang w:val="en-US" w:eastAsia="zh-CN"/>
        </w:rPr>
        <w:t>对落实《政府工作报告》、水质检查等情况进行公示，</w:t>
      </w:r>
      <w:r>
        <w:rPr>
          <w:rFonts w:hint="eastAsia" w:ascii="仿宋_GB2312" w:hAnsi="微软雅黑" w:eastAsia="仿宋_GB2312" w:cs="宋体"/>
          <w:color w:val="auto"/>
          <w:kern w:val="0"/>
          <w:sz w:val="32"/>
          <w:szCs w:val="32"/>
        </w:rPr>
        <w:t>行政处罚情况，预算决算情况</w:t>
      </w:r>
      <w:r>
        <w:rPr>
          <w:rFonts w:hint="eastAsia" w:ascii="仿宋_GB2312" w:hAnsi="微软雅黑" w:eastAsia="仿宋_GB2312" w:cs="宋体"/>
          <w:color w:val="auto"/>
          <w:kern w:val="0"/>
          <w:sz w:val="32"/>
          <w:szCs w:val="32"/>
          <w:lang w:val="en-US" w:eastAsia="zh-CN"/>
        </w:rPr>
        <w:t>及时进行</w:t>
      </w:r>
      <w:r>
        <w:rPr>
          <w:rFonts w:hint="eastAsia" w:ascii="仿宋_GB2312" w:hAnsi="微软雅黑" w:eastAsia="仿宋_GB2312" w:cs="宋体"/>
          <w:color w:val="auto"/>
          <w:kern w:val="0"/>
          <w:sz w:val="32"/>
          <w:szCs w:val="32"/>
        </w:rPr>
        <w:t>公开。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截止2</w:t>
      </w:r>
      <w:r>
        <w:rPr>
          <w:rFonts w:ascii="仿宋_GB2312" w:hAnsi="仿宋_GB2312" w:eastAsia="仿宋_GB2312" w:cs="仿宋_GB2312"/>
          <w:color w:val="000000" w:themeColor="text1"/>
          <w:sz w:val="32"/>
          <w:szCs w:val="32"/>
          <w:shd w:val="clear" w:color="auto" w:fill="FFFFFF"/>
          <w14:textFill>
            <w14:solidFill>
              <w14:schemeClr w14:val="tx1"/>
            </w14:solidFill>
          </w14:textFill>
        </w:rPr>
        <w:t>021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年底，共发布主动公开信息</w:t>
      </w:r>
      <w:r>
        <w:rPr>
          <w:rFonts w:ascii="仿宋_GB2312" w:hAnsi="仿宋_GB2312" w:eastAsia="仿宋_GB2312" w:cs="仿宋_GB2312"/>
          <w:color w:val="000000" w:themeColor="text1"/>
          <w:sz w:val="32"/>
          <w:szCs w:val="32"/>
          <w:shd w:val="clear" w:color="auto" w:fill="FFFFFF"/>
          <w14:textFill>
            <w14:solidFill>
              <w14:schemeClr w14:val="tx1"/>
            </w14:solidFill>
          </w14:textFill>
        </w:rPr>
        <w:t>647</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件，通过政府网站发布主动公开信息共195条，通过 “安丘综合执法”公众号发布主动公开信息</w:t>
      </w:r>
      <w:r>
        <w:rPr>
          <w:rFonts w:ascii="仿宋_GB2312" w:hAnsi="仿宋_GB2312" w:eastAsia="仿宋_GB2312" w:cs="仿宋_GB2312"/>
          <w:color w:val="000000" w:themeColor="text1"/>
          <w:sz w:val="32"/>
          <w:szCs w:val="32"/>
          <w:shd w:val="clear" w:color="auto" w:fill="FFFFFF"/>
          <w14:textFill>
            <w14:solidFill>
              <w14:schemeClr w14:val="tx1"/>
            </w14:solidFill>
          </w14:textFill>
        </w:rPr>
        <w:t>102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件；相比去年增加了</w:t>
      </w:r>
      <w:r>
        <w:rPr>
          <w:rFonts w:ascii="仿宋_GB2312" w:hAnsi="微软雅黑" w:eastAsia="仿宋_GB2312" w:cs="宋体"/>
          <w:color w:val="333333"/>
          <w:kern w:val="0"/>
          <w:sz w:val="32"/>
          <w:szCs w:val="32"/>
        </w:rPr>
        <w:t>333</w:t>
      </w:r>
      <w:r>
        <w:rPr>
          <w:rFonts w:hint="eastAsia" w:ascii="仿宋_GB2312" w:hAnsi="微软雅黑" w:eastAsia="仿宋_GB2312" w:cs="宋体"/>
          <w:color w:val="333333"/>
          <w:kern w:val="0"/>
          <w:sz w:val="32"/>
          <w:szCs w:val="32"/>
        </w:rPr>
        <w:t>件，主要是扩大了媒体宣传的方式，并加大工作宣传频率。</w:t>
      </w:r>
    </w:p>
    <w:p>
      <w:pPr>
        <w:pStyle w:val="1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3" w:firstLineChars="200"/>
        <w:textAlignment w:val="auto"/>
        <w:rPr>
          <w:rFonts w:hint="default" w:ascii="Calibri" w:hAnsi="Calibri" w:eastAsia="宋体" w:cs="Times New Roman"/>
          <w:color w:val="auto"/>
          <w:kern w:val="0"/>
          <w:sz w:val="24"/>
          <w:szCs w:val="24"/>
        </w:rPr>
      </w:pPr>
      <w:r>
        <w:rPr>
          <w:rFonts w:hint="eastAsia" w:ascii="仿宋_GB2312" w:hAnsi="仿宋" w:eastAsia="仿宋_GB2312" w:cs="仿宋"/>
          <w:b/>
          <w:bCs/>
          <w:color w:val="auto"/>
          <w:kern w:val="2"/>
          <w:sz w:val="32"/>
          <w:szCs w:val="32"/>
          <w:lang w:val="en-US" w:eastAsia="zh-CN" w:bidi="ar-SA"/>
        </w:rPr>
        <w:t>3.解读回应关切</w:t>
      </w:r>
    </w:p>
    <w:p>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仿宋_GB2312" w:hAnsi="微软雅黑" w:eastAsia="仿宋_GB2312" w:cs="仿宋_GB2312"/>
          <w:i w:val="0"/>
          <w:iCs w:val="0"/>
          <w:caps w:val="0"/>
          <w:color w:val="333333"/>
          <w:spacing w:val="0"/>
          <w:kern w:val="0"/>
          <w:sz w:val="32"/>
          <w:szCs w:val="32"/>
          <w:shd w:val="clear" w:fill="FFFFFF"/>
          <w:lang w:val="en-US" w:eastAsia="zh-CN"/>
        </w:rPr>
      </w:pPr>
      <w:r>
        <w:rPr>
          <w:rFonts w:ascii="仿宋_GB2312" w:hAnsi="微软雅黑" w:eastAsia="仿宋_GB2312" w:cs="仿宋_GB2312"/>
          <w:i w:val="0"/>
          <w:iCs w:val="0"/>
          <w:caps w:val="0"/>
          <w:color w:val="333333"/>
          <w:spacing w:val="0"/>
          <w:kern w:val="0"/>
          <w:sz w:val="32"/>
          <w:szCs w:val="32"/>
          <w:shd w:val="clear" w:fill="FFFFFF"/>
        </w:rPr>
        <w:t>2021年，</w:t>
      </w:r>
      <w:r>
        <w:rPr>
          <w:rFonts w:hint="eastAsia" w:ascii="仿宋_GB2312" w:hAnsi="微软雅黑" w:eastAsia="仿宋_GB2312" w:cs="仿宋_GB2312"/>
          <w:i w:val="0"/>
          <w:iCs w:val="0"/>
          <w:caps w:val="0"/>
          <w:color w:val="333333"/>
          <w:spacing w:val="0"/>
          <w:kern w:val="0"/>
          <w:sz w:val="32"/>
          <w:szCs w:val="32"/>
          <w:shd w:val="clear" w:fill="FFFFFF"/>
          <w:lang w:val="en-US" w:eastAsia="zh-CN"/>
        </w:rPr>
        <w:t>解读</w:t>
      </w:r>
      <w:r>
        <w:rPr>
          <w:rFonts w:ascii="仿宋_GB2312" w:hAnsi="微软雅黑" w:eastAsia="仿宋_GB2312" w:cs="仿宋_GB2312"/>
          <w:i w:val="0"/>
          <w:iCs w:val="0"/>
          <w:caps w:val="0"/>
          <w:color w:val="333333"/>
          <w:spacing w:val="0"/>
          <w:kern w:val="0"/>
          <w:sz w:val="32"/>
          <w:szCs w:val="32"/>
          <w:shd w:val="clear" w:fill="FFFFFF"/>
        </w:rPr>
        <w:t>政策</w:t>
      </w:r>
      <w:r>
        <w:rPr>
          <w:rFonts w:hint="eastAsia" w:ascii="仿宋_GB2312" w:hAnsi="微软雅黑" w:eastAsia="仿宋_GB2312" w:cs="仿宋_GB2312"/>
          <w:i w:val="0"/>
          <w:iCs w:val="0"/>
          <w:caps w:val="0"/>
          <w:color w:val="333333"/>
          <w:spacing w:val="0"/>
          <w:kern w:val="0"/>
          <w:sz w:val="32"/>
          <w:szCs w:val="32"/>
          <w:shd w:val="clear" w:fill="FFFFFF"/>
          <w:lang w:val="en-US" w:eastAsia="zh-CN"/>
        </w:rPr>
        <w:t>3</w:t>
      </w:r>
      <w:r>
        <w:rPr>
          <w:rFonts w:ascii="仿宋_GB2312" w:hAnsi="微软雅黑" w:eastAsia="仿宋_GB2312" w:cs="仿宋_GB2312"/>
          <w:i w:val="0"/>
          <w:iCs w:val="0"/>
          <w:caps w:val="0"/>
          <w:color w:val="333333"/>
          <w:spacing w:val="0"/>
          <w:kern w:val="0"/>
          <w:sz w:val="32"/>
          <w:szCs w:val="32"/>
          <w:shd w:val="clear" w:fill="FFFFFF"/>
        </w:rPr>
        <w:t>次，</w:t>
      </w:r>
      <w:r>
        <w:rPr>
          <w:rFonts w:hint="eastAsia" w:ascii="仿宋_GB2312" w:hAnsi="微软雅黑" w:eastAsia="仿宋_GB2312" w:cs="仿宋_GB2312"/>
          <w:i w:val="0"/>
          <w:iCs w:val="0"/>
          <w:caps w:val="0"/>
          <w:color w:val="333333"/>
          <w:spacing w:val="0"/>
          <w:kern w:val="0"/>
          <w:sz w:val="32"/>
          <w:szCs w:val="32"/>
          <w:shd w:val="clear" w:fill="FFFFFF"/>
          <w:lang w:val="en-US" w:eastAsia="zh-CN"/>
        </w:rPr>
        <w:t>以视频、音频、图文等形式发布10解读内容</w:t>
      </w:r>
      <w:r>
        <w:rPr>
          <w:rFonts w:ascii="仿宋_GB2312" w:hAnsi="微软雅黑" w:eastAsia="仿宋_GB2312" w:cs="仿宋_GB2312"/>
          <w:i w:val="0"/>
          <w:iCs w:val="0"/>
          <w:caps w:val="0"/>
          <w:color w:val="333333"/>
          <w:spacing w:val="0"/>
          <w:kern w:val="0"/>
          <w:sz w:val="32"/>
          <w:szCs w:val="32"/>
          <w:shd w:val="clear" w:fill="FFFFFF"/>
        </w:rPr>
        <w:t>，平台共收到</w:t>
      </w:r>
      <w:r>
        <w:rPr>
          <w:rFonts w:hint="eastAsia" w:ascii="仿宋_GB2312" w:hAnsi="微软雅黑" w:eastAsia="仿宋_GB2312" w:cs="仿宋_GB2312"/>
          <w:i w:val="0"/>
          <w:iCs w:val="0"/>
          <w:caps w:val="0"/>
          <w:color w:val="333333"/>
          <w:spacing w:val="0"/>
          <w:kern w:val="0"/>
          <w:sz w:val="32"/>
          <w:szCs w:val="32"/>
          <w:shd w:val="clear" w:fill="FFFFFF"/>
          <w:lang w:val="en-US" w:eastAsia="zh-CN"/>
        </w:rPr>
        <w:t>信件20</w:t>
      </w:r>
      <w:r>
        <w:rPr>
          <w:rFonts w:ascii="仿宋_GB2312" w:hAnsi="微软雅黑" w:eastAsia="仿宋_GB2312" w:cs="仿宋_GB2312"/>
          <w:i w:val="0"/>
          <w:iCs w:val="0"/>
          <w:caps w:val="0"/>
          <w:color w:val="333333"/>
          <w:spacing w:val="0"/>
          <w:kern w:val="0"/>
          <w:sz w:val="32"/>
          <w:szCs w:val="32"/>
          <w:shd w:val="clear" w:fill="FFFFFF"/>
        </w:rPr>
        <w:t>件，</w:t>
      </w:r>
      <w:r>
        <w:rPr>
          <w:rFonts w:hint="eastAsia" w:ascii="仿宋_GB2312" w:hAnsi="微软雅黑" w:eastAsia="仿宋_GB2312" w:cs="仿宋_GB2312"/>
          <w:i w:val="0"/>
          <w:iCs w:val="0"/>
          <w:caps w:val="0"/>
          <w:color w:val="333333"/>
          <w:spacing w:val="0"/>
          <w:kern w:val="0"/>
          <w:sz w:val="32"/>
          <w:szCs w:val="32"/>
          <w:shd w:val="clear" w:fill="FFFFFF"/>
          <w:lang w:val="en-US" w:eastAsia="zh-CN"/>
        </w:rPr>
        <w:t>对已核实的进行及时回复。</w:t>
      </w:r>
    </w:p>
    <w:p>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仿宋_GB2312" w:hAnsi="微软雅黑" w:eastAsia="仿宋_GB2312" w:cs="仿宋_GB2312"/>
          <w:i w:val="0"/>
          <w:iCs w:val="0"/>
          <w:caps w:val="0"/>
          <w:color w:val="333333"/>
          <w:spacing w:val="0"/>
          <w:kern w:val="0"/>
          <w:sz w:val="32"/>
          <w:szCs w:val="32"/>
          <w:shd w:val="clear" w:fill="FFFFFF"/>
          <w:lang w:val="en-US" w:eastAsia="zh-CN"/>
        </w:rPr>
      </w:pPr>
      <w:r>
        <w:rPr>
          <w:rFonts w:hint="eastAsia" w:ascii="楷体_GB2312" w:hAnsi="楷体_GB2312" w:eastAsia="楷体_GB2312" w:cs="楷体_GB2312"/>
          <w:color w:val="333333"/>
          <w:sz w:val="32"/>
          <w:szCs w:val="32"/>
          <w:shd w:val="clear" w:color="auto" w:fill="FFFFFF"/>
        </w:rPr>
        <w:drawing>
          <wp:anchor distT="0" distB="0" distL="114300" distR="114300" simplePos="0" relativeHeight="251661312" behindDoc="0" locked="0" layoutInCell="1" allowOverlap="1">
            <wp:simplePos x="0" y="0"/>
            <wp:positionH relativeFrom="column">
              <wp:posOffset>2791460</wp:posOffset>
            </wp:positionH>
            <wp:positionV relativeFrom="paragraph">
              <wp:posOffset>1105535</wp:posOffset>
            </wp:positionV>
            <wp:extent cx="2522220" cy="1046480"/>
            <wp:effectExtent l="0" t="0" r="11430" b="1270"/>
            <wp:wrapSquare wrapText="bothSides"/>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4"/>
                    <a:stretch>
                      <a:fillRect/>
                    </a:stretch>
                  </pic:blipFill>
                  <pic:spPr>
                    <a:xfrm>
                      <a:off x="0" y="0"/>
                      <a:ext cx="2522220" cy="1046480"/>
                    </a:xfrm>
                    <a:prstGeom prst="rect">
                      <a:avLst/>
                    </a:prstGeom>
                  </pic:spPr>
                </pic:pic>
              </a:graphicData>
            </a:graphic>
          </wp:anchor>
        </w:drawing>
      </w:r>
      <w:r>
        <w:rPr>
          <w:rFonts w:hint="eastAsia" w:ascii="仿宋_GB2312" w:hAnsi="微软雅黑" w:eastAsia="仿宋_GB2312" w:cs="仿宋_GB2312"/>
          <w:i w:val="0"/>
          <w:iCs w:val="0"/>
          <w:caps w:val="0"/>
          <w:color w:val="333333"/>
          <w:spacing w:val="0"/>
          <w:kern w:val="0"/>
          <w:sz w:val="32"/>
          <w:szCs w:val="32"/>
          <w:shd w:val="clear" w:fill="FFFFFF"/>
          <w:lang w:val="en-US" w:eastAsia="zh-CN"/>
        </w:rPr>
        <w:drawing>
          <wp:anchor distT="0" distB="0" distL="114300" distR="114300" simplePos="0" relativeHeight="251660288" behindDoc="1" locked="0" layoutInCell="1" allowOverlap="1">
            <wp:simplePos x="0" y="0"/>
            <wp:positionH relativeFrom="column">
              <wp:posOffset>21590</wp:posOffset>
            </wp:positionH>
            <wp:positionV relativeFrom="paragraph">
              <wp:posOffset>69215</wp:posOffset>
            </wp:positionV>
            <wp:extent cx="2725420" cy="2058670"/>
            <wp:effectExtent l="0" t="0" r="17780" b="0"/>
            <wp:wrapTight wrapText="bothSides">
              <wp:wrapPolygon>
                <wp:start x="0" y="0"/>
                <wp:lineTo x="0" y="21387"/>
                <wp:lineTo x="21439" y="21387"/>
                <wp:lineTo x="21439" y="0"/>
                <wp:lineTo x="0" y="0"/>
              </wp:wrapPolygon>
            </wp:wrapTight>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5"/>
                    <a:stretch>
                      <a:fillRect/>
                    </a:stretch>
                  </pic:blipFill>
                  <pic:spPr>
                    <a:xfrm>
                      <a:off x="0" y="0"/>
                      <a:ext cx="2725420" cy="2058670"/>
                    </a:xfrm>
                    <a:prstGeom prst="rect">
                      <a:avLst/>
                    </a:prstGeom>
                  </pic:spPr>
                </pic:pic>
              </a:graphicData>
            </a:graphic>
          </wp:anchor>
        </w:drawing>
      </w:r>
    </w:p>
    <w:p>
      <w:pPr>
        <w:spacing w:line="240" w:lineRule="auto"/>
        <w:ind w:firstLine="640" w:firstLineChars="200"/>
        <w:rPr>
          <w:rFonts w:hint="eastAsia" w:ascii="楷体_GB2312" w:hAnsi="楷体_GB2312" w:eastAsia="楷体_GB2312" w:cs="楷体_GB2312"/>
          <w:color w:val="333333"/>
          <w:sz w:val="32"/>
          <w:szCs w:val="32"/>
          <w:shd w:val="clear" w:color="auto" w:fill="FFFFFF"/>
          <w:lang w:eastAsia="zh-CN"/>
        </w:rPr>
      </w:pPr>
      <w:r>
        <w:rPr>
          <w:rFonts w:hint="eastAsia" w:ascii="仿宋_GB2312" w:hAnsi="微软雅黑" w:eastAsia="仿宋_GB2312" w:cs="仿宋_GB2312"/>
          <w:i w:val="0"/>
          <w:iCs w:val="0"/>
          <w:caps w:val="0"/>
          <w:color w:val="333333"/>
          <w:spacing w:val="0"/>
          <w:kern w:val="0"/>
          <w:sz w:val="32"/>
          <w:szCs w:val="32"/>
          <w:shd w:val="clear" w:fill="FFFFFF"/>
          <w:lang w:val="en-US" w:eastAsia="zh-CN"/>
        </w:rPr>
        <w:drawing>
          <wp:anchor distT="0" distB="0" distL="114300" distR="114300" simplePos="0" relativeHeight="251659264" behindDoc="1" locked="0" layoutInCell="1" allowOverlap="1">
            <wp:simplePos x="0" y="0"/>
            <wp:positionH relativeFrom="column">
              <wp:posOffset>-35560</wp:posOffset>
            </wp:positionH>
            <wp:positionV relativeFrom="paragraph">
              <wp:posOffset>-277495</wp:posOffset>
            </wp:positionV>
            <wp:extent cx="2531745" cy="926465"/>
            <wp:effectExtent l="0" t="0" r="1905" b="45085"/>
            <wp:wrapTight wrapText="bothSides">
              <wp:wrapPolygon>
                <wp:start x="0" y="0"/>
                <wp:lineTo x="0" y="21319"/>
                <wp:lineTo x="21454" y="21319"/>
                <wp:lineTo x="21454" y="0"/>
                <wp:lineTo x="0" y="0"/>
              </wp:wrapPolygon>
            </wp:wrapTight>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6"/>
                    <a:stretch>
                      <a:fillRect/>
                    </a:stretch>
                  </pic:blipFill>
                  <pic:spPr>
                    <a:xfrm>
                      <a:off x="0" y="0"/>
                      <a:ext cx="2531745" cy="926465"/>
                    </a:xfrm>
                    <a:prstGeom prst="rect">
                      <a:avLst/>
                    </a:prstGeom>
                  </pic:spPr>
                </pic:pic>
              </a:graphicData>
            </a:graphic>
          </wp:anchor>
        </w:drawing>
      </w:r>
      <w:r>
        <w:rPr>
          <w:rFonts w:hint="eastAsia" w:ascii="楷体_GB2312" w:hAnsi="楷体_GB2312" w:eastAsia="楷体_GB2312" w:cs="楷体_GB2312"/>
          <w:color w:val="333333"/>
          <w:sz w:val="32"/>
          <w:szCs w:val="32"/>
          <w:shd w:val="clear" w:color="auto" w:fill="FFFFFF"/>
        </w:rPr>
        <w:t>（二）依申请公开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2021年，我局收到政府信息公开申请1件，为违法建设处罚方面依申请，按时进行了处理。全年未发生因政府信息公开被行政复议、提起行政诉讼情况。未收取任何与政府信息公开有关的费用。</w:t>
      </w:r>
    </w:p>
    <w:p>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rPr>
          <w:rFonts w:hint="eastAsia" w:ascii="仿宋_GB2312" w:hAnsi="仿宋_GB2312" w:eastAsia="仿宋_GB2312" w:cs="仿宋_GB2312"/>
          <w:sz w:val="32"/>
          <w:szCs w:val="32"/>
        </w:rPr>
      </w:pPr>
    </w:p>
    <w:p>
      <w:pPr>
        <w:pStyle w:val="2"/>
        <w:rPr>
          <w:rFonts w:hint="eastAsia" w:eastAsiaTheme="minorEastAsia"/>
          <w:lang w:eastAsia="zh-CN"/>
        </w:rPr>
      </w:pPr>
      <w:r>
        <w:rPr>
          <w:rFonts w:hint="eastAsia" w:eastAsiaTheme="minorEastAsia"/>
          <w:lang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numPr>
          <w:ilvl w:val="0"/>
          <w:numId w:val="4"/>
        </w:numPr>
        <w:spacing w:line="560" w:lineRule="exact"/>
        <w:ind w:left="1080" w:leftChars="0" w:firstLineChars="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政府信息管理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_GB2312" w:hAnsi="微软雅黑" w:eastAsia="仿宋_GB2312" w:cs="仿宋_GB2312"/>
          <w:color w:val="auto"/>
          <w:kern w:val="0"/>
          <w:sz w:val="32"/>
          <w:szCs w:val="32"/>
          <w:lang w:val="en-US" w:eastAsia="zh-CN" w:bidi="ar"/>
        </w:rPr>
        <w:t>严格落实</w:t>
      </w:r>
      <w:r>
        <w:rPr>
          <w:rFonts w:hint="eastAsia" w:ascii="仿宋_GB2312" w:hAnsi="仿宋" w:eastAsia="仿宋_GB2312" w:cs="仿宋"/>
          <w:b w:val="0"/>
          <w:bCs w:val="0"/>
          <w:kern w:val="2"/>
          <w:sz w:val="32"/>
          <w:szCs w:val="32"/>
          <w:lang w:val="en-US" w:eastAsia="zh-CN" w:bidi="ar-SA"/>
        </w:rPr>
        <w:t>建设情况</w:t>
      </w:r>
      <w:r>
        <w:rPr>
          <w:rFonts w:ascii="仿宋_GB2312" w:hAnsi="微软雅黑" w:eastAsia="仿宋_GB2312" w:cs="仿宋_GB2312"/>
          <w:color w:val="333333"/>
          <w:spacing w:val="0"/>
          <w:kern w:val="0"/>
          <w:sz w:val="32"/>
          <w:szCs w:val="32"/>
          <w:lang w:val="en-US" w:eastAsia="zh-CN" w:bidi="ar"/>
        </w:rPr>
        <w:t>信息公开相关要求，</w:t>
      </w:r>
      <w:r>
        <w:rPr>
          <w:rFonts w:hint="eastAsia" w:ascii="仿宋_GB2312" w:hAnsi="微软雅黑" w:eastAsia="仿宋_GB2312" w:cs="仿宋_GB2312"/>
          <w:color w:val="333333"/>
          <w:spacing w:val="0"/>
          <w:kern w:val="0"/>
          <w:sz w:val="32"/>
          <w:szCs w:val="32"/>
          <w:lang w:val="en-US" w:eastAsia="zh-CN" w:bidi="ar"/>
        </w:rPr>
        <w:t>坚持“应公开尽公开”原则</w:t>
      </w:r>
      <w:r>
        <w:rPr>
          <w:rFonts w:ascii="仿宋_GB2312" w:hAnsi="微软雅黑" w:eastAsia="仿宋_GB2312" w:cs="仿宋_GB2312"/>
          <w:color w:val="333333"/>
          <w:spacing w:val="0"/>
          <w:kern w:val="0"/>
          <w:sz w:val="32"/>
          <w:szCs w:val="32"/>
          <w:lang w:val="en-US" w:eastAsia="zh-CN" w:bidi="ar"/>
        </w:rPr>
        <w:t>、</w:t>
      </w:r>
      <w:r>
        <w:rPr>
          <w:rFonts w:hint="eastAsia" w:ascii="仿宋_GB2312" w:hAnsi="微软雅黑" w:eastAsia="仿宋_GB2312" w:cs="仿宋_GB2312"/>
          <w:color w:val="333333"/>
          <w:spacing w:val="0"/>
          <w:kern w:val="0"/>
          <w:sz w:val="32"/>
          <w:szCs w:val="32"/>
          <w:lang w:val="en-US" w:eastAsia="zh-CN" w:bidi="ar"/>
        </w:rPr>
        <w:t>把牢保密审查关口，</w:t>
      </w:r>
      <w:r>
        <w:rPr>
          <w:rFonts w:ascii="仿宋_GB2312" w:hAnsi="微软雅黑" w:eastAsia="仿宋_GB2312" w:cs="仿宋_GB2312"/>
          <w:color w:val="333333"/>
          <w:spacing w:val="0"/>
          <w:kern w:val="0"/>
          <w:sz w:val="32"/>
          <w:szCs w:val="32"/>
          <w:lang w:val="en-US" w:eastAsia="zh-CN" w:bidi="ar"/>
        </w:rPr>
        <w:t>积极完善网站信息公开的审查、发布</w:t>
      </w:r>
      <w:r>
        <w:rPr>
          <w:rFonts w:hint="eastAsia" w:ascii="仿宋_GB2312" w:hAnsi="微软雅黑" w:eastAsia="仿宋_GB2312" w:cs="仿宋_GB2312"/>
          <w:color w:val="333333"/>
          <w:spacing w:val="0"/>
          <w:kern w:val="0"/>
          <w:sz w:val="32"/>
          <w:szCs w:val="32"/>
          <w:lang w:val="en-US" w:eastAsia="zh-CN" w:bidi="ar"/>
        </w:rPr>
        <w:t>，</w:t>
      </w:r>
      <w:r>
        <w:rPr>
          <w:rFonts w:ascii="仿宋_GB2312" w:hAnsi="微软雅黑" w:eastAsia="仿宋_GB2312" w:cs="仿宋_GB2312"/>
          <w:color w:val="333333"/>
          <w:kern w:val="0"/>
          <w:sz w:val="32"/>
          <w:szCs w:val="32"/>
          <w:lang w:val="en-US" w:eastAsia="zh-CN" w:bidi="ar"/>
        </w:rPr>
        <w:t>认真落实政府信息公开管理机制，对政府信息及时进行动态更新。</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20" w:firstLineChars="20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
    <w:p>
      <w:pPr>
        <w:numPr>
          <w:ilvl w:val="0"/>
          <w:numId w:val="4"/>
        </w:numPr>
        <w:spacing w:line="560" w:lineRule="exact"/>
        <w:ind w:left="1080" w:leftChars="0" w:firstLineChars="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政府信息公开平台建设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按照专网专线的要求管理网站，不断扩展媒体公开力度，在安丘综合执法公众号、 融媒体等设立“城管零距离”刊发推送城市管理相关信息，有效扩大了人民群众对综合执法工作的信息获取方式。</w:t>
      </w:r>
    </w:p>
    <w:p>
      <w:pPr>
        <w:numPr>
          <w:ilvl w:val="0"/>
          <w:numId w:val="4"/>
        </w:numPr>
        <w:spacing w:line="560" w:lineRule="exact"/>
        <w:ind w:left="1080" w:leftChars="0" w:hanging="1080" w:firstLineChars="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监督保障。</w:t>
      </w:r>
    </w:p>
    <w:p>
      <w:pPr>
        <w:spacing w:line="560" w:lineRule="exact"/>
        <w:ind w:firstLine="643" w:firstLineChars="200"/>
        <w:rPr>
          <w:rFonts w:ascii="仿宋_GB2312" w:hAnsi="仿宋_GB2312" w:eastAsia="仿宋_GB2312" w:cs="仿宋_GB2312"/>
          <w:sz w:val="32"/>
          <w:szCs w:val="32"/>
        </w:rPr>
      </w:pPr>
      <w:r>
        <w:rPr>
          <w:rFonts w:hint="eastAsia" w:ascii="仿宋_GB2312" w:hAnsi="仿宋" w:eastAsia="仿宋_GB2312" w:cs="仿宋"/>
          <w:b/>
          <w:bCs/>
          <w:kern w:val="2"/>
          <w:sz w:val="32"/>
          <w:szCs w:val="32"/>
          <w:lang w:val="en-US" w:eastAsia="zh-CN" w:bidi="ar-SA"/>
        </w:rPr>
        <w:t>一是</w:t>
      </w:r>
      <w:r>
        <w:rPr>
          <w:rFonts w:hint="eastAsia" w:ascii="仿宋_GB2312" w:hAnsi="仿宋_GB2312" w:eastAsia="仿宋_GB2312" w:cs="仿宋_GB2312"/>
          <w:sz w:val="32"/>
          <w:szCs w:val="32"/>
          <w:lang w:val="en-US" w:eastAsia="zh-CN"/>
        </w:rPr>
        <w:t>成立由局长任组长，分管领导任副组长，相关科室任组员的领导小组，</w:t>
      </w:r>
      <w:r>
        <w:rPr>
          <w:rFonts w:hint="eastAsia" w:ascii="仿宋_GB2312" w:hAnsi="仿宋_GB2312" w:eastAsia="仿宋_GB2312" w:cs="仿宋_GB2312"/>
          <w:sz w:val="32"/>
          <w:szCs w:val="32"/>
        </w:rPr>
        <w:t>以局研究室牵头，</w:t>
      </w:r>
      <w:r>
        <w:rPr>
          <w:rFonts w:hint="eastAsia" w:ascii="仿宋_GB2312" w:hAnsi="仿宋_GB2312" w:eastAsia="仿宋_GB2312" w:cs="仿宋_GB2312"/>
          <w:i w:val="0"/>
          <w:iCs w:val="0"/>
          <w:caps w:val="0"/>
          <w:color w:val="444444"/>
          <w:spacing w:val="0"/>
          <w:sz w:val="32"/>
          <w:szCs w:val="32"/>
        </w:rPr>
        <w:t>落实专人负责</w:t>
      </w:r>
      <w:r>
        <w:rPr>
          <w:rFonts w:hint="eastAsia" w:ascii="仿宋_GB2312" w:hAnsi="仿宋_GB2312" w:eastAsia="仿宋_GB2312" w:cs="仿宋_GB2312"/>
          <w:i w:val="0"/>
          <w:iCs w:val="0"/>
          <w:caps w:val="0"/>
          <w:color w:val="444444"/>
          <w:spacing w:val="0"/>
          <w:sz w:val="32"/>
          <w:szCs w:val="32"/>
          <w:lang w:eastAsia="zh-CN"/>
        </w:rPr>
        <w:t>，</w:t>
      </w:r>
      <w:r>
        <w:rPr>
          <w:rFonts w:hint="eastAsia" w:ascii="仿宋_GB2312" w:hAnsi="仿宋_GB2312" w:eastAsia="仿宋_GB2312" w:cs="仿宋_GB2312"/>
          <w:sz w:val="32"/>
          <w:szCs w:val="32"/>
        </w:rPr>
        <w:t>各中心、科室、中队为责任单位的政务公开工作网络，确保了政务公开工作有序推进。</w:t>
      </w:r>
    </w:p>
    <w:p>
      <w:pPr>
        <w:widowControl/>
        <w:shd w:val="clear" w:color="auto" w:fill="FFFFFF"/>
        <w:wordWrap w:val="0"/>
        <w:spacing w:line="600" w:lineRule="atLeast"/>
        <w:ind w:firstLine="643"/>
        <w:jc w:val="left"/>
        <w:rPr>
          <w:rFonts w:hint="default" w:ascii="仿宋_GB2312" w:hAnsi="仿宋_GB2312" w:eastAsia="仿宋_GB2312" w:cs="仿宋_GB2312"/>
          <w:i w:val="0"/>
          <w:iCs w:val="0"/>
          <w:caps w:val="0"/>
          <w:color w:val="444444"/>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二是</w:t>
      </w:r>
      <w:r>
        <w:rPr>
          <w:rFonts w:hint="eastAsia" w:ascii="仿宋_GB2312" w:hAnsi="仿宋_GB2312" w:eastAsia="仿宋_GB2312" w:cs="仿宋_GB2312"/>
          <w:i w:val="0"/>
          <w:iCs w:val="0"/>
          <w:caps w:val="0"/>
          <w:color w:val="000000"/>
          <w:spacing w:val="0"/>
          <w:sz w:val="32"/>
          <w:szCs w:val="32"/>
          <w:shd w:val="clear" w:fill="FFFFFF"/>
        </w:rPr>
        <w:t>将信息公开工作</w:t>
      </w:r>
      <w:r>
        <w:rPr>
          <w:rFonts w:hint="eastAsia" w:ascii="仿宋_GB2312" w:hAnsi="仿宋_GB2312" w:eastAsia="仿宋_GB2312" w:cs="仿宋_GB2312"/>
          <w:i w:val="0"/>
          <w:iCs w:val="0"/>
          <w:caps w:val="0"/>
          <w:color w:val="000000"/>
          <w:spacing w:val="0"/>
          <w:sz w:val="32"/>
          <w:szCs w:val="32"/>
          <w:shd w:val="clear" w:fill="FFFFFF"/>
          <w:lang w:val="en-US" w:eastAsia="zh-CN"/>
        </w:rPr>
        <w:t>作为</w:t>
      </w:r>
      <w:r>
        <w:rPr>
          <w:rFonts w:hint="eastAsia" w:ascii="仿宋_GB2312" w:hAnsi="仿宋_GB2312" w:eastAsia="仿宋_GB2312" w:cs="仿宋_GB2312"/>
          <w:i w:val="0"/>
          <w:iCs w:val="0"/>
          <w:caps w:val="0"/>
          <w:color w:val="000000"/>
          <w:spacing w:val="0"/>
          <w:sz w:val="32"/>
          <w:szCs w:val="32"/>
          <w:shd w:val="clear" w:fill="FFFFFF"/>
        </w:rPr>
        <w:t>年度工作的重要内容，摆在全年工作的重要日程，</w:t>
      </w:r>
      <w:r>
        <w:rPr>
          <w:rFonts w:hint="eastAsia" w:ascii="仿宋_GB2312" w:hAnsi="仿宋_GB2312" w:eastAsia="仿宋_GB2312" w:cs="仿宋_GB2312"/>
          <w:i w:val="0"/>
          <w:iCs w:val="0"/>
          <w:caps w:val="0"/>
          <w:color w:val="000000"/>
          <w:spacing w:val="0"/>
          <w:sz w:val="32"/>
          <w:szCs w:val="32"/>
          <w:shd w:val="clear" w:fill="FFFFFF"/>
          <w:lang w:val="en-US" w:eastAsia="zh-CN"/>
        </w:rPr>
        <w:t>纳入</w:t>
      </w:r>
      <w:r>
        <w:rPr>
          <w:rFonts w:hint="eastAsia" w:ascii="仿宋_GB2312" w:hAnsi="仿宋_GB2312" w:eastAsia="仿宋_GB2312" w:cs="仿宋_GB2312"/>
          <w:i w:val="0"/>
          <w:iCs w:val="0"/>
          <w:caps w:val="0"/>
          <w:color w:val="000000"/>
          <w:spacing w:val="0"/>
          <w:sz w:val="32"/>
          <w:szCs w:val="32"/>
          <w:shd w:val="clear" w:fill="FFFFFF"/>
        </w:rPr>
        <w:t>绩效考评的重要依据</w:t>
      </w:r>
      <w:r>
        <w:rPr>
          <w:rFonts w:hint="eastAsia" w:ascii="仿宋_GB2312" w:hAnsi="仿宋_GB2312" w:eastAsia="仿宋_GB2312" w:cs="仿宋_GB2312"/>
          <w:i w:val="0"/>
          <w:iCs w:val="0"/>
          <w:caps w:val="0"/>
          <w:color w:val="444444"/>
          <w:spacing w:val="0"/>
          <w:sz w:val="32"/>
          <w:szCs w:val="32"/>
          <w:lang w:val="en-US" w:eastAsia="zh-CN"/>
        </w:rPr>
        <w:t>。并公开监督方式接受群众监督。</w:t>
      </w:r>
    </w:p>
    <w:p>
      <w:pPr>
        <w:widowControl/>
        <w:shd w:val="clear" w:color="auto" w:fill="FFFFFF"/>
        <w:wordWrap w:val="0"/>
        <w:spacing w:line="600" w:lineRule="atLeast"/>
        <w:ind w:firstLine="643"/>
        <w:jc w:val="left"/>
        <w:rPr>
          <w:rFonts w:ascii="仿宋_GB2312" w:hAnsi="微软雅黑" w:eastAsia="仿宋_GB2312" w:cs="宋体"/>
          <w:color w:val="333333"/>
          <w:spacing w:val="8"/>
          <w:kern w:val="0"/>
          <w:sz w:val="32"/>
          <w:szCs w:val="32"/>
          <w:shd w:val="clear" w:color="auto" w:fill="FFFFFF"/>
        </w:rPr>
      </w:pPr>
      <w:r>
        <w:rPr>
          <w:rFonts w:hint="eastAsia" w:ascii="仿宋_GB2312" w:hAnsi="仿宋_GB2312" w:eastAsia="仿宋_GB2312" w:cs="仿宋_GB2312"/>
          <w:i w:val="0"/>
          <w:iCs w:val="0"/>
          <w:caps w:val="0"/>
          <w:color w:val="444444"/>
          <w:spacing w:val="0"/>
          <w:sz w:val="32"/>
          <w:szCs w:val="32"/>
          <w:lang w:val="en-US" w:eastAsia="zh-CN"/>
        </w:rPr>
        <w:t>三是</w:t>
      </w:r>
      <w:r>
        <w:rPr>
          <w:rFonts w:hint="eastAsia" w:ascii="仿宋_GB2312" w:hAnsi="仿宋_GB2312" w:eastAsia="仿宋_GB2312" w:cs="仿宋_GB2312"/>
          <w:i w:val="0"/>
          <w:iCs w:val="0"/>
          <w:caps w:val="0"/>
          <w:color w:val="000000"/>
          <w:spacing w:val="0"/>
          <w:sz w:val="32"/>
          <w:szCs w:val="32"/>
          <w:shd w:val="clear" w:fill="FFFFFF"/>
        </w:rPr>
        <w:t>利用集体学习、工作例会等形式，开展政务信息公开工作培训，让具办人员准确全面掌握信息公开的规定要求、工作流程、业务知识，保障规范操作。</w:t>
      </w:r>
    </w:p>
    <w:p>
      <w:pPr>
        <w:spacing w:line="560" w:lineRule="exact"/>
        <w:ind w:firstLine="640" w:firstLineChars="200"/>
        <w:rPr>
          <w:rFonts w:ascii="仿宋_GB2312" w:hAnsi="仿宋_GB2312" w:eastAsia="仿宋_GB2312" w:cs="仿宋_GB2312"/>
          <w:color w:val="FF0000"/>
          <w:sz w:val="32"/>
          <w:szCs w:val="32"/>
          <w:shd w:val="clear" w:color="auto" w:fill="FFFFFF"/>
        </w:rPr>
      </w:pPr>
      <w:r>
        <w:rPr>
          <w:rFonts w:hint="eastAsia" w:ascii="黑体" w:hAnsi="黑体" w:eastAsia="黑体" w:cs="黑体"/>
          <w:color w:val="333333"/>
          <w:sz w:val="32"/>
          <w:szCs w:val="32"/>
          <w:shd w:val="clear" w:color="auto" w:fill="FFFFFF"/>
        </w:rPr>
        <w:t>二、主动公开政府信息情况</w:t>
      </w:r>
    </w:p>
    <w:tbl>
      <w:tblPr>
        <w:tblStyle w:val="8"/>
        <w:tblW w:w="9040" w:type="dxa"/>
        <w:jc w:val="center"/>
        <w:tblLayout w:type="autofit"/>
        <w:tblCellMar>
          <w:top w:w="0" w:type="dxa"/>
          <w:left w:w="0" w:type="dxa"/>
          <w:bottom w:w="0" w:type="dxa"/>
          <w:right w:w="0" w:type="dxa"/>
        </w:tblCellMar>
      </w:tblPr>
      <w:tblGrid>
        <w:gridCol w:w="2260"/>
        <w:gridCol w:w="2260"/>
        <w:gridCol w:w="2260"/>
        <w:gridCol w:w="2260"/>
      </w:tblGrid>
      <w:tr>
        <w:tblPrEx>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color w:val="000000"/>
                <w:kern w:val="0"/>
                <w:sz w:val="20"/>
                <w:szCs w:val="20"/>
                <w:lang w:bidi="ar"/>
              </w:rPr>
              <w:t>第二十条第（一）项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color w:val="000000"/>
                <w:kern w:val="0"/>
                <w:sz w:val="20"/>
                <w:szCs w:val="20"/>
                <w:lang w:bidi="ar"/>
              </w:rPr>
              <w:t>信息内容</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color w:val="000000"/>
                <w:kern w:val="0"/>
                <w:sz w:val="20"/>
                <w:szCs w:val="20"/>
                <w:lang w:bidi="ar"/>
              </w:rPr>
              <w:t>本年</w:t>
            </w:r>
            <w:r>
              <w:rPr>
                <w:rFonts w:hint="eastAsia" w:ascii="宋体" w:hAnsi="宋体" w:eastAsia="宋体" w:cs="宋体"/>
                <w:kern w:val="0"/>
                <w:sz w:val="20"/>
                <w:szCs w:val="20"/>
                <w:lang w:bidi="ar"/>
              </w:rPr>
              <w:t>制发件数</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color w:val="000000"/>
                <w:kern w:val="0"/>
                <w:sz w:val="20"/>
                <w:szCs w:val="20"/>
                <w:lang w:bidi="ar"/>
              </w:rPr>
              <w:t>本年废止件数</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color w:val="000000"/>
                <w:kern w:val="0"/>
                <w:sz w:val="20"/>
                <w:szCs w:val="20"/>
                <w:lang w:bidi="ar"/>
              </w:rPr>
              <w:t>现行有效件</w:t>
            </w:r>
            <w:r>
              <w:rPr>
                <w:rFonts w:hint="eastAsia" w:ascii="宋体" w:hAnsi="宋体" w:eastAsia="宋体" w:cs="宋体"/>
                <w:kern w:val="0"/>
                <w:sz w:val="20"/>
                <w:szCs w:val="20"/>
                <w:lang w:bidi="ar"/>
              </w:rPr>
              <w:t>数</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szCs w:val="24"/>
              </w:rPr>
            </w:pPr>
            <w:r>
              <w:rPr>
                <w:rFonts w:hint="eastAsia" w:ascii="宋体" w:hAnsi="宋体" w:eastAsia="宋体" w:cs="宋体"/>
                <w:color w:val="000000"/>
                <w:kern w:val="0"/>
                <w:sz w:val="20"/>
                <w:szCs w:val="20"/>
                <w:lang w:bidi="ar"/>
              </w:rPr>
              <w:t>规章</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color w:val="000000"/>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color w:val="000000"/>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Calibri" w:hAnsi="Calibri" w:eastAsia="宋体" w:cs="Calibri"/>
                <w:kern w:val="0"/>
                <w:szCs w:val="21"/>
                <w:lang w:bidi="ar"/>
              </w:rPr>
              <w:t>0</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szCs w:val="24"/>
              </w:rPr>
            </w:pPr>
            <w:r>
              <w:rPr>
                <w:rFonts w:hint="eastAsia" w:ascii="宋体" w:hAnsi="宋体" w:eastAsia="宋体" w:cs="宋体"/>
                <w:color w:val="000000"/>
                <w:kern w:val="0"/>
                <w:sz w:val="20"/>
                <w:szCs w:val="20"/>
                <w:lang w:bidi="ar"/>
              </w:rPr>
              <w:t>行政规范性文件</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宋体" w:hAnsi="宋体" w:eastAsia="宋体" w:cs="宋体"/>
                <w:color w:val="000000"/>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color w:val="000000"/>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Calibri" w:hAnsi="Calibri" w:eastAsia="宋体" w:cs="Calibri"/>
                <w:kern w:val="0"/>
                <w:szCs w:val="21"/>
                <w:lang w:bidi="ar"/>
              </w:rPr>
              <w:t>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color w:val="000000"/>
                <w:kern w:val="0"/>
                <w:sz w:val="20"/>
                <w:szCs w:val="20"/>
                <w:lang w:bidi="ar"/>
              </w:rPr>
              <w:t>第二十条第（五）项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color w:val="000000"/>
                <w:kern w:val="0"/>
                <w:sz w:val="20"/>
                <w:szCs w:val="20"/>
                <w:lang w:bidi="ar"/>
              </w:rPr>
              <w:t>信息内容</w:t>
            </w:r>
          </w:p>
        </w:tc>
        <w:tc>
          <w:tcPr>
            <w:tcW w:w="6780"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color w:val="000000"/>
                <w:kern w:val="0"/>
                <w:sz w:val="20"/>
                <w:szCs w:val="20"/>
                <w:lang w:bidi="ar"/>
              </w:rPr>
              <w:t>本年处理决定数量</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szCs w:val="24"/>
              </w:rPr>
            </w:pPr>
            <w:r>
              <w:rPr>
                <w:rFonts w:hint="eastAsia" w:ascii="宋体" w:hAnsi="宋体" w:eastAsia="宋体" w:cs="宋体"/>
                <w:color w:val="000000"/>
                <w:kern w:val="0"/>
                <w:sz w:val="20"/>
                <w:szCs w:val="20"/>
                <w:lang w:bidi="ar"/>
              </w:rPr>
              <w:t>行政许可</w:t>
            </w:r>
          </w:p>
        </w:tc>
        <w:tc>
          <w:tcPr>
            <w:tcW w:w="6780"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Cs w:val="21"/>
                <w:lang w:bidi="ar"/>
              </w:rPr>
              <w:t>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color w:val="000000"/>
                <w:kern w:val="0"/>
                <w:sz w:val="20"/>
                <w:szCs w:val="20"/>
                <w:lang w:bidi="ar"/>
              </w:rPr>
              <w:t>第二十条第（六）项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color w:val="000000"/>
                <w:kern w:val="0"/>
                <w:sz w:val="20"/>
                <w:szCs w:val="20"/>
                <w:lang w:bidi="ar"/>
              </w:rPr>
              <w:t>信息内容</w:t>
            </w:r>
          </w:p>
        </w:tc>
        <w:tc>
          <w:tcPr>
            <w:tcW w:w="6780"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color w:val="000000"/>
                <w:kern w:val="0"/>
                <w:sz w:val="20"/>
                <w:szCs w:val="20"/>
                <w:lang w:bidi="ar"/>
              </w:rPr>
              <w:t>本年处理决定数量</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szCs w:val="24"/>
              </w:rPr>
            </w:pPr>
            <w:r>
              <w:rPr>
                <w:rFonts w:hint="eastAsia" w:ascii="宋体" w:hAnsi="宋体" w:eastAsia="宋体" w:cs="宋体"/>
                <w:color w:val="000000"/>
                <w:kern w:val="0"/>
                <w:sz w:val="20"/>
                <w:szCs w:val="20"/>
                <w:lang w:bidi="ar"/>
              </w:rPr>
              <w:t>行政处罚</w:t>
            </w:r>
          </w:p>
        </w:tc>
        <w:tc>
          <w:tcPr>
            <w:tcW w:w="6780"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color w:val="000000"/>
                <w:kern w:val="0"/>
                <w:sz w:val="20"/>
                <w:szCs w:val="20"/>
                <w:lang w:bidi="ar"/>
              </w:rPr>
              <w:t>3</w:t>
            </w:r>
            <w:r>
              <w:rPr>
                <w:rFonts w:ascii="宋体" w:hAnsi="宋体" w:eastAsia="宋体" w:cs="宋体"/>
                <w:color w:val="000000"/>
                <w:kern w:val="0"/>
                <w:sz w:val="20"/>
                <w:szCs w:val="20"/>
                <w:lang w:bidi="ar"/>
              </w:rPr>
              <w:t>18件</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szCs w:val="24"/>
              </w:rPr>
            </w:pPr>
            <w:r>
              <w:rPr>
                <w:rFonts w:hint="eastAsia" w:ascii="宋体" w:hAnsi="宋体" w:eastAsia="宋体" w:cs="宋体"/>
                <w:color w:val="000000"/>
                <w:kern w:val="0"/>
                <w:sz w:val="20"/>
                <w:szCs w:val="20"/>
                <w:lang w:bidi="ar"/>
              </w:rPr>
              <w:t>行政强制</w:t>
            </w:r>
          </w:p>
        </w:tc>
        <w:tc>
          <w:tcPr>
            <w:tcW w:w="6780"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color w:val="000000"/>
                <w:kern w:val="0"/>
                <w:sz w:val="20"/>
                <w:szCs w:val="20"/>
                <w:lang w:bidi="ar"/>
              </w:rPr>
              <w:t>第二十条第（八）项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color w:val="000000"/>
                <w:kern w:val="0"/>
                <w:sz w:val="20"/>
                <w:szCs w:val="20"/>
                <w:lang w:bidi="ar"/>
              </w:rPr>
              <w:t>信息内容</w:t>
            </w:r>
          </w:p>
        </w:tc>
        <w:tc>
          <w:tcPr>
            <w:tcW w:w="6780" w:type="dxa"/>
            <w:gridSpan w:val="3"/>
            <w:tcBorders>
              <w:top w:val="nil"/>
              <w:left w:val="nil"/>
              <w:bottom w:val="single" w:color="auto" w:sz="8" w:space="0"/>
              <w:right w:val="single" w:color="000000"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szCs w:val="24"/>
              </w:rPr>
            </w:pPr>
            <w:r>
              <w:rPr>
                <w:rFonts w:hint="eastAsia" w:ascii="宋体" w:hAnsi="宋体" w:eastAsia="宋体" w:cs="宋体"/>
                <w:color w:val="000000"/>
                <w:kern w:val="0"/>
                <w:sz w:val="20"/>
                <w:szCs w:val="20"/>
                <w:lang w:bidi="ar"/>
              </w:rPr>
              <w:t>行政事业性收费</w:t>
            </w:r>
          </w:p>
        </w:tc>
        <w:tc>
          <w:tcPr>
            <w:tcW w:w="6780" w:type="dxa"/>
            <w:gridSpan w:val="3"/>
            <w:tcBorders>
              <w:top w:val="nil"/>
              <w:left w:val="nil"/>
              <w:bottom w:val="single" w:color="auto" w:sz="8" w:space="0"/>
              <w:right w:val="single" w:color="000000" w:sz="8" w:space="0"/>
            </w:tcBorders>
            <w:tcMar>
              <w:left w:w="57" w:type="dxa"/>
              <w:right w:w="57" w:type="dxa"/>
            </w:tcMar>
            <w:vAlign w:val="center"/>
          </w:tcPr>
          <w:p>
            <w:pPr>
              <w:spacing w:line="560" w:lineRule="exact"/>
              <w:jc w:val="center"/>
              <w:rPr>
                <w:rFonts w:ascii="宋体" w:hAnsi="Calibri" w:eastAsia="宋体" w:cs="Times New Roman"/>
                <w:sz w:val="24"/>
                <w:szCs w:val="24"/>
              </w:rPr>
            </w:pPr>
            <w:r>
              <w:rPr>
                <w:rFonts w:hint="eastAsia" w:ascii="宋体" w:hAnsi="Calibri" w:eastAsia="宋体" w:cs="Times New Roman"/>
                <w:sz w:val="24"/>
                <w:szCs w:val="24"/>
              </w:rPr>
              <w:t>8</w:t>
            </w:r>
          </w:p>
        </w:tc>
      </w:tr>
    </w:tbl>
    <w:p>
      <w:pPr>
        <w:spacing w:line="560" w:lineRule="exact"/>
        <w:ind w:firstLine="640" w:firstLineChars="200"/>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三、收到和处理政府信息公开申请情况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spacing w:line="560" w:lineRule="exact"/>
              <w:jc w:val="left"/>
              <w:rPr>
                <w:rFonts w:ascii="Calibri" w:hAnsi="Calibri" w:eastAsia="宋体" w:cs="Times New Roman"/>
                <w:szCs w:val="24"/>
              </w:rPr>
            </w:pPr>
            <w:r>
              <w:rPr>
                <w:rFonts w:ascii="楷体" w:hAnsi="楷体" w:eastAsia="楷体" w:cs="楷体"/>
                <w:kern w:val="0"/>
                <w:sz w:val="20"/>
                <w:szCs w:val="20"/>
                <w:lang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spacing w:line="560" w:lineRule="exact"/>
              <w:rPr>
                <w:rFonts w:ascii="宋体" w:hAnsi="Calibri" w:eastAsia="宋体" w:cs="Times New Roman"/>
                <w:sz w:val="24"/>
                <w:szCs w:val="24"/>
              </w:rPr>
            </w:pPr>
          </w:p>
        </w:tc>
        <w:tc>
          <w:tcPr>
            <w:tcW w:w="714" w:type="dxa"/>
            <w:vMerge w:val="restart"/>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自然人</w:t>
            </w:r>
          </w:p>
        </w:tc>
        <w:tc>
          <w:tcPr>
            <w:tcW w:w="3570" w:type="dxa"/>
            <w:gridSpan w:val="5"/>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法人或其他组织</w:t>
            </w:r>
          </w:p>
        </w:tc>
        <w:tc>
          <w:tcPr>
            <w:tcW w:w="714" w:type="dxa"/>
            <w:vMerge w:val="restart"/>
            <w:tcBorders>
              <w:top w:val="single" w:color="auto" w:sz="8" w:space="0"/>
              <w:left w:val="nil"/>
              <w:bottom w:val="outset"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spacing w:line="560" w:lineRule="exact"/>
              <w:rPr>
                <w:rFonts w:ascii="宋体" w:hAnsi="Calibri" w:eastAsia="宋体" w:cs="Times New Roman"/>
                <w:sz w:val="24"/>
                <w:szCs w:val="24"/>
              </w:rPr>
            </w:pPr>
          </w:p>
        </w:tc>
        <w:tc>
          <w:tcPr>
            <w:tcW w:w="714" w:type="dxa"/>
            <w:vMerge w:val="continue"/>
            <w:tcBorders>
              <w:top w:val="nil"/>
              <w:left w:val="nil"/>
              <w:bottom w:val="single"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商业</w:t>
            </w:r>
          </w:p>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企业</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科研</w:t>
            </w:r>
          </w:p>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机构</w:t>
            </w:r>
          </w:p>
        </w:tc>
        <w:tc>
          <w:tcPr>
            <w:tcW w:w="714"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社会公益组织</w:t>
            </w:r>
          </w:p>
        </w:tc>
        <w:tc>
          <w:tcPr>
            <w:tcW w:w="714"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法律服务机构</w:t>
            </w:r>
          </w:p>
        </w:tc>
        <w:tc>
          <w:tcPr>
            <w:tcW w:w="714"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其他</w:t>
            </w:r>
          </w:p>
        </w:tc>
        <w:tc>
          <w:tcPr>
            <w:tcW w:w="714" w:type="dxa"/>
            <w:vMerge w:val="continue"/>
            <w:tcBorders>
              <w:top w:val="single" w:color="auto" w:sz="8" w:space="0"/>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一、本年新收政府信息公开申请数量</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1</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二、上年结转政府信息公开申请数量</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三、本年度办理结果</w:t>
            </w:r>
          </w:p>
        </w:tc>
        <w:tc>
          <w:tcPr>
            <w:tcW w:w="4365" w:type="dxa"/>
            <w:gridSpan w:val="2"/>
            <w:tcBorders>
              <w:top w:val="nil"/>
              <w:left w:val="nil"/>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（一）予以公开</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1</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single" w:color="auto" w:sz="8" w:space="0"/>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4365" w:type="dxa"/>
            <w:gridSpan w:val="2"/>
            <w:tcBorders>
              <w:top w:val="nil"/>
              <w:left w:val="nil"/>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959" w:type="dxa"/>
            <w:vMerge w:val="restart"/>
            <w:tcBorders>
              <w:top w:val="nil"/>
              <w:left w:val="nil"/>
              <w:bottom w:val="outset"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（三）不予公开</w:t>
            </w:r>
          </w:p>
        </w:tc>
        <w:tc>
          <w:tcPr>
            <w:tcW w:w="340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1.属于国家秘密</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single" w:color="auto" w:sz="8" w:space="0"/>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340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2.其他法律行政法规禁止公开</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340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3.危及“三安全一稳定”</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340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4.保护第三方合法权益</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340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5.属于三类内部事务信息</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340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6.属于四类过程性信息</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340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7.属于行政执法案卷</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340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8.属于行政查询事项</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959" w:type="dxa"/>
            <w:vMerge w:val="restart"/>
            <w:tcBorders>
              <w:top w:val="nil"/>
              <w:left w:val="nil"/>
              <w:bottom w:val="outset"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（四）无法提供</w:t>
            </w:r>
          </w:p>
        </w:tc>
        <w:tc>
          <w:tcPr>
            <w:tcW w:w="340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1.本机关不掌握相关政府信息</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340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2.没有现成信息需要另行制作</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340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3.补正后申请内容仍不明确</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959" w:type="dxa"/>
            <w:vMerge w:val="restart"/>
            <w:tcBorders>
              <w:top w:val="nil"/>
              <w:left w:val="nil"/>
              <w:bottom w:val="outset"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（五）不予处理</w:t>
            </w:r>
          </w:p>
        </w:tc>
        <w:tc>
          <w:tcPr>
            <w:tcW w:w="340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1.信访举报投诉类申请</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340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2.重复申请</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340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3.要求提供公开出版物</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3406"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4.无正当理由大量反复申请</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3406" w:type="dxa"/>
            <w:tcBorders>
              <w:top w:val="nil"/>
              <w:left w:val="nil"/>
              <w:bottom w:val="outset" w:color="auto" w:sz="8" w:space="0"/>
              <w:right w:val="single" w:color="auto" w:sz="8" w:space="0"/>
            </w:tcBorders>
            <w:tcMar>
              <w:left w:w="57" w:type="dxa"/>
              <w:right w:w="57" w:type="dxa"/>
            </w:tcMar>
            <w:vAlign w:val="center"/>
          </w:tcPr>
          <w:p>
            <w:pPr>
              <w:widowControl/>
              <w:spacing w:line="560" w:lineRule="exact"/>
              <w:rPr>
                <w:rFonts w:ascii="Calibri" w:hAnsi="Calibri" w:eastAsia="宋体" w:cs="Times New Roman"/>
                <w:szCs w:val="24"/>
              </w:rPr>
            </w:pPr>
            <w:r>
              <w:rPr>
                <w:rFonts w:hint="eastAsia" w:ascii="宋体" w:hAnsi="宋体" w:eastAsia="宋体" w:cs="宋体"/>
                <w:kern w:val="0"/>
                <w:sz w:val="20"/>
                <w:szCs w:val="20"/>
                <w:lang w:bidi="ar"/>
              </w:rPr>
              <w:t>5.要求行政机关确认或重新出具已获取信息</w:t>
            </w:r>
          </w:p>
        </w:tc>
        <w:tc>
          <w:tcPr>
            <w:tcW w:w="714" w:type="dxa"/>
            <w:tcBorders>
              <w:top w:val="nil"/>
              <w:left w:val="nil"/>
              <w:bottom w:val="outset"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outset"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outset"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outset"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outset"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outset"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outset"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959"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（六）其他处理</w:t>
            </w:r>
          </w:p>
        </w:tc>
        <w:tc>
          <w:tcPr>
            <w:tcW w:w="340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rPr>
                <w:rFonts w:ascii="Calibri" w:hAnsi="Calibri" w:eastAsia="宋体" w:cs="Times New Roman"/>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959"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340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rPr>
                <w:rFonts w:ascii="Calibri" w:hAnsi="Calibri" w:eastAsia="宋体" w:cs="Times New Roman"/>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959"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3406"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3.其他</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hAnsi="Calibri" w:eastAsia="宋体" w:cs="Times New Roman"/>
                <w:sz w:val="24"/>
                <w:szCs w:val="24"/>
              </w:rPr>
            </w:pPr>
          </w:p>
        </w:tc>
        <w:tc>
          <w:tcPr>
            <w:tcW w:w="4365" w:type="dxa"/>
            <w:gridSpan w:val="2"/>
            <w:tcBorders>
              <w:top w:val="nil"/>
              <w:left w:val="nil"/>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（七）总计</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1</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四、结转下年度继续办理</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tcPr>
          <w:p>
            <w:pPr>
              <w:spacing w:line="560" w:lineRule="exact"/>
              <w:rPr>
                <w:rFonts w:ascii="宋体" w:hAnsi="Calibri" w:eastAsia="宋体" w:cs="Times New Roman"/>
                <w:sz w:val="24"/>
                <w:szCs w:val="24"/>
              </w:rPr>
            </w:pPr>
            <w:r>
              <w:rPr>
                <w:rFonts w:hint="eastAsia" w:ascii="宋体" w:hAnsi="Calibri" w:eastAsia="宋体" w:cs="Times New Roman"/>
                <w:sz w:val="24"/>
                <w:szCs w:val="24"/>
              </w:rPr>
              <w:t>0</w:t>
            </w:r>
          </w:p>
        </w:tc>
      </w:tr>
    </w:tbl>
    <w:p>
      <w:pPr>
        <w:spacing w:line="560" w:lineRule="exact"/>
        <w:ind w:firstLine="640" w:firstLineChars="200"/>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四、政府信息公开行政复议、行政诉讼情况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结果</w:t>
            </w:r>
          </w:p>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其他</w:t>
            </w:r>
          </w:p>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尚未</w:t>
            </w:r>
          </w:p>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hAnsi="Calibri" w:eastAsia="宋体" w:cs="Times New Roman"/>
                <w:sz w:val="24"/>
                <w:szCs w:val="24"/>
              </w:rPr>
            </w:pPr>
          </w:p>
        </w:tc>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hAnsi="Calibri" w:eastAsia="宋体" w:cs="Times New Roman"/>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hAnsi="Calibri" w:eastAsia="宋体" w:cs="Times New Roman"/>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hAnsi="Calibri" w:eastAsia="宋体" w:cs="Times New Roman"/>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hAnsi="Calibri" w:eastAsia="宋体" w:cs="Times New Roman"/>
                <w:sz w:val="24"/>
                <w:szCs w:val="24"/>
              </w:rPr>
            </w:pP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结果</w:t>
            </w:r>
          </w:p>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结果</w:t>
            </w:r>
          </w:p>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其他</w:t>
            </w:r>
          </w:p>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尚未</w:t>
            </w:r>
          </w:p>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结果</w:t>
            </w:r>
          </w:p>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结果</w:t>
            </w:r>
          </w:p>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其他</w:t>
            </w:r>
          </w:p>
          <w:p>
            <w:pPr>
              <w:widowControl/>
              <w:spacing w:line="560" w:lineRule="exact"/>
              <w:jc w:val="center"/>
              <w:rPr>
                <w:rFonts w:ascii="Calibri" w:hAnsi="Calibri" w:eastAsia="宋体" w:cs="Times New Roman"/>
                <w:szCs w:val="24"/>
              </w:rPr>
            </w:pPr>
            <w:r>
              <w:rPr>
                <w:rFonts w:hint="eastAsia" w:ascii="宋体" w:hAnsi="宋体" w:eastAsia="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尚未</w:t>
            </w:r>
          </w:p>
          <w:p>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szCs w:val="24"/>
              </w:rPr>
            </w:pPr>
            <w:r>
              <w:rPr>
                <w:rFonts w:hint="eastAsia" w:ascii="宋体" w:hAnsi="宋体" w:eastAsia="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szCs w:val="24"/>
              </w:rPr>
            </w:pPr>
            <w:r>
              <w:rPr>
                <w:rFonts w:ascii="黑体" w:hAnsi="宋体" w:eastAsia="黑体" w:cs="黑体"/>
                <w:kern w:val="0"/>
                <w:sz w:val="20"/>
                <w:szCs w:val="20"/>
                <w:lang w:bidi="ar"/>
              </w:rPr>
              <w:t> 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szCs w:val="24"/>
              </w:rPr>
            </w:pPr>
            <w:r>
              <w:rPr>
                <w:rFonts w:hint="eastAsia" w:ascii="黑体" w:hAnsi="宋体" w:eastAsia="黑体" w:cs="黑体"/>
                <w:kern w:val="0"/>
                <w:sz w:val="20"/>
                <w:szCs w:val="20"/>
                <w:lang w:bidi="ar"/>
              </w:rPr>
              <w:t> </w:t>
            </w:r>
            <w:r>
              <w:rPr>
                <w:rFonts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szCs w:val="24"/>
              </w:rPr>
            </w:pPr>
            <w:r>
              <w:rPr>
                <w:rFonts w:hint="eastAsia" w:ascii="黑体" w:hAnsi="宋体" w:eastAsia="黑体" w:cs="黑体"/>
                <w:kern w:val="0"/>
                <w:sz w:val="20"/>
                <w:szCs w:val="20"/>
                <w:lang w:bidi="ar"/>
              </w:rPr>
              <w:t> </w:t>
            </w:r>
            <w:r>
              <w:rPr>
                <w:rFonts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szCs w:val="24"/>
              </w:rPr>
            </w:pPr>
            <w:r>
              <w:rPr>
                <w:rFonts w:hint="eastAsia" w:ascii="黑体" w:hAnsi="宋体" w:eastAsia="黑体" w:cs="黑体"/>
                <w:kern w:val="0"/>
                <w:sz w:val="20"/>
                <w:szCs w:val="20"/>
                <w:lang w:bidi="ar"/>
              </w:rPr>
              <w:t> </w:t>
            </w:r>
            <w:r>
              <w:rPr>
                <w:rFonts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szCs w:val="24"/>
              </w:rPr>
            </w:pPr>
            <w:r>
              <w:rPr>
                <w:rFonts w:hint="eastAsia" w:ascii="黑体" w:hAnsi="宋体" w:eastAsia="黑体" w:cs="黑体"/>
                <w:kern w:val="0"/>
                <w:sz w:val="20"/>
                <w:szCs w:val="20"/>
                <w:lang w:bidi="ar"/>
              </w:rPr>
              <w:t> </w:t>
            </w:r>
            <w:r>
              <w:rPr>
                <w:rFonts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szCs w:val="24"/>
              </w:rPr>
            </w:pPr>
            <w:r>
              <w:rPr>
                <w:rFonts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szCs w:val="24"/>
              </w:rPr>
            </w:pPr>
            <w:r>
              <w:rPr>
                <w:rFonts w:hint="eastAsia" w:ascii="黑体" w:hAnsi="宋体" w:eastAsia="黑体" w:cs="黑体"/>
                <w:kern w:val="0"/>
                <w:sz w:val="20"/>
                <w:szCs w:val="20"/>
                <w:lang w:bidi="ar"/>
              </w:rPr>
              <w:t> </w:t>
            </w:r>
            <w:r>
              <w:rPr>
                <w:rFonts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szCs w:val="24"/>
              </w:rPr>
            </w:pPr>
            <w:r>
              <w:rPr>
                <w:rFonts w:ascii="黑体" w:hAnsi="宋体" w:eastAsia="黑体" w:cs="黑体"/>
                <w:kern w:val="0"/>
                <w:sz w:val="20"/>
                <w:szCs w:val="20"/>
                <w:lang w:bidi="ar"/>
              </w:rPr>
              <w:t>0</w:t>
            </w: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szCs w:val="24"/>
              </w:rPr>
            </w:pPr>
            <w:r>
              <w:rPr>
                <w:rFonts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szCs w:val="24"/>
              </w:rPr>
            </w:pPr>
            <w:r>
              <w:rPr>
                <w:rFonts w:ascii="黑体" w:hAnsi="宋体" w:eastAsia="黑体" w:cs="黑体"/>
                <w:kern w:val="0"/>
                <w:sz w:val="20"/>
                <w:szCs w:val="20"/>
                <w:lang w:bidi="ar"/>
              </w:rPr>
              <w:t>0</w:t>
            </w: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szCs w:val="24"/>
              </w:rPr>
            </w:pPr>
            <w:r>
              <w:rPr>
                <w:rFonts w:hint="eastAsia" w:ascii="黑体" w:hAnsi="宋体" w:eastAsia="黑体" w:cs="黑体"/>
                <w:kern w:val="0"/>
                <w:sz w:val="20"/>
                <w:szCs w:val="20"/>
                <w:lang w:bidi="ar"/>
              </w:rPr>
              <w:t> </w:t>
            </w:r>
            <w:r>
              <w:rPr>
                <w:rFonts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szCs w:val="24"/>
              </w:rPr>
            </w:pPr>
            <w:r>
              <w:rPr>
                <w:rFonts w:hint="eastAsia" w:ascii="黑体" w:hAnsi="宋体" w:eastAsia="黑体" w:cs="黑体"/>
                <w:kern w:val="0"/>
                <w:sz w:val="20"/>
                <w:szCs w:val="20"/>
                <w:lang w:bidi="ar"/>
              </w:rPr>
              <w:t> </w:t>
            </w:r>
            <w:r>
              <w:rPr>
                <w:rFonts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szCs w:val="24"/>
              </w:rPr>
            </w:pPr>
            <w:r>
              <w:rPr>
                <w:rFonts w:hint="eastAsia" w:ascii="黑体" w:hAnsi="宋体" w:eastAsia="黑体" w:cs="黑体"/>
                <w:kern w:val="0"/>
                <w:sz w:val="20"/>
                <w:szCs w:val="20"/>
                <w:lang w:bidi="ar"/>
              </w:rPr>
              <w:t> </w:t>
            </w:r>
            <w:r>
              <w:rPr>
                <w:rFonts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ascii="Calibri" w:hAnsi="Calibri" w:eastAsia="宋体" w:cs="Times New Roman"/>
                <w:szCs w:val="24"/>
              </w:rPr>
            </w:pPr>
            <w:r>
              <w:rPr>
                <w:rFonts w:hint="eastAsia" w:ascii="黑体" w:hAnsi="宋体" w:eastAsia="黑体" w:cs="黑体"/>
                <w:kern w:val="0"/>
                <w:sz w:val="20"/>
                <w:szCs w:val="20"/>
                <w:lang w:bidi="ar"/>
              </w:rPr>
              <w:t> </w:t>
            </w:r>
            <w:r>
              <w:rPr>
                <w:rFonts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hAnsi="Calibri" w:eastAsia="宋体" w:cs="Times New Roman"/>
                <w:sz w:val="24"/>
                <w:szCs w:val="24"/>
              </w:rPr>
            </w:pPr>
            <w:r>
              <w:rPr>
                <w:rFonts w:hint="eastAsia" w:ascii="宋体" w:hAnsi="Calibri" w:eastAsia="宋体" w:cs="Times New Roman"/>
                <w:sz w:val="24"/>
                <w:szCs w:val="24"/>
              </w:rPr>
              <w:t>0</w:t>
            </w:r>
          </w:p>
        </w:tc>
      </w:tr>
    </w:tbl>
    <w:p>
      <w:pPr>
        <w:spacing w:line="560" w:lineRule="exact"/>
        <w:ind w:firstLine="640" w:firstLineChars="200"/>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五、存在的主要问题及改进情况</w:t>
      </w:r>
    </w:p>
    <w:p>
      <w:pPr>
        <w:widowControl/>
        <w:shd w:val="clear" w:color="auto" w:fill="FFFFFF"/>
        <w:spacing w:line="560" w:lineRule="exact"/>
        <w:ind w:firstLine="643"/>
        <w:jc w:val="left"/>
        <w:rPr>
          <w:rFonts w:ascii="楷体_GB2312" w:hAnsi="仿宋_GB2312" w:eastAsia="楷体_GB2312" w:cs="仿宋_GB2312"/>
          <w:sz w:val="32"/>
          <w:szCs w:val="32"/>
        </w:rPr>
      </w:pPr>
      <w:r>
        <w:rPr>
          <w:rFonts w:hint="eastAsia" w:ascii="楷体_GB2312" w:hAnsi="仿宋_GB2312" w:eastAsia="楷体_GB2312" w:cs="仿宋_GB2312"/>
          <w:sz w:val="32"/>
          <w:szCs w:val="32"/>
        </w:rPr>
        <w:t>（一）2020年问题整改情况</w:t>
      </w:r>
    </w:p>
    <w:p>
      <w:pPr>
        <w:spacing w:line="560" w:lineRule="exact"/>
        <w:ind w:firstLine="643" w:firstLineChars="200"/>
        <w:rPr>
          <w:rFonts w:ascii="仿宋_GB2312" w:hAnsi="微软雅黑" w:eastAsia="仿宋_GB2312" w:cs="宋体"/>
          <w:b/>
          <w:bCs/>
          <w:color w:val="333333"/>
          <w:kern w:val="0"/>
          <w:sz w:val="32"/>
          <w:szCs w:val="32"/>
        </w:rPr>
      </w:pPr>
      <w:r>
        <w:rPr>
          <w:rFonts w:hint="eastAsia" w:ascii="仿宋_GB2312" w:hAnsi="微软雅黑" w:eastAsia="仿宋_GB2312" w:cs="宋体"/>
          <w:b/>
          <w:bCs/>
          <w:color w:val="333333"/>
          <w:kern w:val="0"/>
          <w:sz w:val="32"/>
          <w:szCs w:val="32"/>
        </w:rPr>
        <w:t>一是</w:t>
      </w:r>
      <w:r>
        <w:rPr>
          <w:rFonts w:ascii="仿宋_GB2312" w:hAnsi="仿宋_GB2312" w:eastAsia="仿宋_GB2312" w:cs="仿宋_GB2312"/>
          <w:b/>
          <w:bCs/>
          <w:sz w:val="32"/>
          <w:szCs w:val="32"/>
        </w:rPr>
        <w:t>强化学习，提升能力。</w:t>
      </w:r>
      <w:r>
        <w:rPr>
          <w:rFonts w:ascii="仿宋_GB2312" w:hAnsi="仿宋_GB2312" w:eastAsia="仿宋_GB2312" w:cs="仿宋_GB2312"/>
          <w:sz w:val="32"/>
          <w:szCs w:val="32"/>
        </w:rPr>
        <w:t>通过学习政府信息公开业务知识，提升专业素养和服务意识，加强信息发布的内容的审核和校对，探索图文结合方式和创新排版技巧，提高信息发布的可读性和质量。</w:t>
      </w:r>
      <w:r>
        <w:rPr>
          <w:rFonts w:hint="eastAsia" w:ascii="仿宋_GB2312" w:hAnsi="微软雅黑" w:eastAsia="仿宋_GB2312" w:cs="宋体"/>
          <w:b/>
          <w:bCs/>
          <w:color w:val="333333"/>
          <w:kern w:val="0"/>
          <w:sz w:val="32"/>
          <w:szCs w:val="32"/>
        </w:rPr>
        <w:t>二是完善工作机制。</w:t>
      </w:r>
      <w:r>
        <w:rPr>
          <w:rFonts w:hint="eastAsia" w:ascii="仿宋_GB2312" w:eastAsia="仿宋_GB2312"/>
          <w:color w:val="333333"/>
          <w:sz w:val="32"/>
          <w:szCs w:val="32"/>
          <w:shd w:val="clear" w:color="auto" w:fill="FFFFFF"/>
        </w:rPr>
        <w:t>以“以公开为原则，不公开为例外”，准确把握主动公开和依申请公开类型信息的不同要求，进一步深化政府信息公开工作，满足公众对政府信息公开工作的需求，更加积极主动接受社会各界的监督</w:t>
      </w:r>
      <w:r>
        <w:rPr>
          <w:rFonts w:hint="eastAsia" w:ascii="仿宋_GB2312" w:hAnsi="微软雅黑" w:eastAsia="仿宋_GB2312" w:cs="宋体"/>
          <w:color w:val="333333"/>
          <w:kern w:val="0"/>
          <w:sz w:val="32"/>
          <w:szCs w:val="32"/>
        </w:rPr>
        <w:t>。</w:t>
      </w:r>
      <w:r>
        <w:rPr>
          <w:rFonts w:hint="eastAsia" w:ascii="仿宋_GB2312" w:hAnsi="微软雅黑" w:eastAsia="仿宋_GB2312" w:cs="宋体"/>
          <w:b/>
          <w:bCs/>
          <w:color w:val="333333"/>
          <w:kern w:val="0"/>
          <w:sz w:val="32"/>
          <w:szCs w:val="32"/>
        </w:rPr>
        <w:t>三是</w:t>
      </w:r>
      <w:r>
        <w:rPr>
          <w:rFonts w:hint="eastAsia" w:ascii="仿宋_GB2312" w:eastAsia="仿宋_GB2312"/>
          <w:b/>
          <w:bCs/>
          <w:color w:val="333333"/>
          <w:sz w:val="32"/>
          <w:szCs w:val="32"/>
          <w:shd w:val="clear" w:color="auto" w:fill="FFFFFF"/>
        </w:rPr>
        <w:t>丰富政务公开形式。</w:t>
      </w:r>
      <w:r>
        <w:rPr>
          <w:rFonts w:hint="eastAsia" w:ascii="仿宋_GB2312" w:eastAsia="仿宋_GB2312"/>
          <w:color w:val="333333"/>
          <w:sz w:val="32"/>
          <w:szCs w:val="32"/>
          <w:shd w:val="clear" w:color="auto" w:fill="FFFFFF"/>
        </w:rPr>
        <w:t>拓宽政务公开渠道，创新公开方式，在利用电视、广播、报纸、网站等媒体做好公开工作的同时，充分利用微博、微信“公众号”等媒体，运用视频、音频，数字图文等多种形式发布，丰富政务信息公开渠道，增加公开内容，扩大公开范围。</w:t>
      </w:r>
    </w:p>
    <w:p>
      <w:pPr>
        <w:widowControl/>
        <w:shd w:val="clear" w:color="auto" w:fill="FFFFFF"/>
        <w:spacing w:line="560" w:lineRule="exact"/>
        <w:ind w:firstLine="640"/>
        <w:jc w:val="left"/>
        <w:rPr>
          <w:rFonts w:ascii="楷体_GB2312" w:hAnsi="仿宋_GB2312" w:eastAsia="楷体_GB2312" w:cs="仿宋_GB2312"/>
          <w:sz w:val="32"/>
          <w:szCs w:val="32"/>
        </w:rPr>
      </w:pPr>
      <w:r>
        <w:rPr>
          <w:rFonts w:hint="eastAsia" w:ascii="楷体_GB2312" w:hAnsi="仿宋_GB2312" w:eastAsia="楷体_GB2312" w:cs="仿宋_GB2312"/>
          <w:sz w:val="32"/>
          <w:szCs w:val="32"/>
        </w:rPr>
        <w:t>（二）2021年存在的主要问题</w:t>
      </w:r>
      <w:r>
        <w:rPr>
          <w:rFonts w:hint="eastAsia" w:ascii="楷体_GB2312" w:hAnsi="仿宋_GB2312" w:eastAsia="楷体_GB2312" w:cs="仿宋_GB2312"/>
          <w:sz w:val="32"/>
          <w:szCs w:val="32"/>
          <w:lang w:val="en-US" w:eastAsia="zh-CN"/>
        </w:rPr>
        <w:t>及改进情况</w:t>
      </w:r>
      <w:r>
        <w:rPr>
          <w:rFonts w:hint="eastAsia" w:ascii="楷体_GB2312" w:hAnsi="仿宋_GB2312" w:eastAsia="楷体_GB2312" w:cs="仿宋_GB2312"/>
          <w:sz w:val="32"/>
          <w:szCs w:val="32"/>
        </w:rPr>
        <w:t>。</w:t>
      </w:r>
    </w:p>
    <w:p>
      <w:pPr>
        <w:widowControl/>
        <w:shd w:val="clear" w:color="auto" w:fill="FFFFFF"/>
        <w:spacing w:line="560" w:lineRule="exact"/>
        <w:ind w:firstLine="643" w:firstLineChars="200"/>
        <w:jc w:val="left"/>
        <w:rPr>
          <w:rFonts w:hint="eastAsia" w:eastAsia="仿宋_GB2312"/>
          <w:lang w:eastAsia="zh-CN"/>
        </w:rPr>
      </w:pPr>
      <w:r>
        <w:rPr>
          <w:rFonts w:hint="eastAsia" w:ascii="仿宋_GB2312" w:hAnsi="仿宋_GB2312" w:eastAsia="仿宋_GB2312" w:cs="仿宋_GB2312"/>
          <w:b/>
          <w:bCs/>
          <w:sz w:val="32"/>
          <w:szCs w:val="32"/>
          <w:lang w:val="en-US" w:eastAsia="zh-CN"/>
        </w:rPr>
        <w:t>主要问题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回顾</w:t>
      </w:r>
      <w:r>
        <w:rPr>
          <w:rFonts w:ascii="仿宋_GB2312" w:hAnsi="仿宋_GB2312" w:eastAsia="仿宋_GB2312" w:cs="仿宋_GB2312"/>
          <w:sz w:val="32"/>
          <w:szCs w:val="32"/>
        </w:rPr>
        <w:t>2021年政府信息公开工作，仍然存在一些不足之处，主要体</w:t>
      </w:r>
      <w:r>
        <w:rPr>
          <w:rFonts w:hint="eastAsia" w:ascii="仿宋_GB2312" w:hAnsi="仿宋_GB2312" w:eastAsia="仿宋_GB2312" w:cs="仿宋_GB2312"/>
          <w:sz w:val="32"/>
          <w:szCs w:val="32"/>
        </w:rPr>
        <w:t>现在：政务公开的及时性、主动性有待提高，政务公开的系统性、专业性研究还不够。</w:t>
      </w:r>
    </w:p>
    <w:p>
      <w:pPr>
        <w:widowControl/>
        <w:shd w:val="clear" w:color="auto" w:fill="FFFFFF"/>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改进情况：</w:t>
      </w:r>
      <w:r>
        <w:rPr>
          <w:rFonts w:ascii="仿宋_GB2312" w:hAnsi="仿宋_GB2312" w:eastAsia="仿宋_GB2312" w:cs="仿宋_GB2312"/>
          <w:sz w:val="32"/>
          <w:szCs w:val="32"/>
        </w:rPr>
        <w:t>2021年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市综合行政执法局将继续完善以下三个方</w:t>
      </w:r>
      <w:r>
        <w:rPr>
          <w:rFonts w:hint="eastAsia" w:ascii="仿宋_GB2312" w:hAnsi="仿宋_GB2312" w:eastAsia="仿宋_GB2312" w:cs="仿宋_GB2312"/>
          <w:sz w:val="32"/>
          <w:szCs w:val="32"/>
        </w:rPr>
        <w:t>面的工作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一是强化学习，提升政务公开规范化。</w:t>
      </w:r>
      <w:r>
        <w:rPr>
          <w:rFonts w:hint="eastAsia" w:ascii="仿宋_GB2312" w:hAnsi="仿宋_GB2312" w:eastAsia="仿宋_GB2312" w:cs="仿宋_GB2312"/>
          <w:sz w:val="32"/>
          <w:szCs w:val="32"/>
        </w:rPr>
        <w:t>加强政府信息公开信息员队伍的动态管理，做到上下联动，加强重点领域政府信息公开、政策解读和回应公众关切问题的信息公开力度，切实提升政务信息公开的质量和水平。</w:t>
      </w:r>
    </w:p>
    <w:p>
      <w:pPr>
        <w:widowControl/>
        <w:shd w:val="clear" w:color="auto" w:fill="FFFFFF"/>
        <w:spacing w:line="560" w:lineRule="exact"/>
        <w:ind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二是健全制度，加强政务公开流程化。</w:t>
      </w:r>
      <w:r>
        <w:rPr>
          <w:rFonts w:hint="eastAsia" w:ascii="仿宋_GB2312" w:hAnsi="仿宋_GB2312" w:eastAsia="仿宋_GB2312" w:cs="仿宋_GB2312"/>
          <w:sz w:val="32"/>
          <w:szCs w:val="32"/>
        </w:rPr>
        <w:t>从主动公开、依申请公开、政策解读、回应关切等方面，进一步完善各项管理制度，细化各环节责任，确保信息公开规范运作，不断把政务公开工作推向深入。</w:t>
      </w:r>
    </w:p>
    <w:p>
      <w:pPr>
        <w:widowControl/>
        <w:shd w:val="clear" w:color="auto" w:fill="FFFFFF"/>
        <w:spacing w:line="560" w:lineRule="exact"/>
        <w:ind w:firstLine="48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三是加强建设，推动政务公开透明化。</w:t>
      </w:r>
      <w:r>
        <w:rPr>
          <w:rFonts w:hint="eastAsia" w:ascii="仿宋_GB2312" w:hAnsi="仿宋_GB2312" w:eastAsia="仿宋_GB2312" w:cs="仿宋_GB2312"/>
          <w:sz w:val="32"/>
          <w:szCs w:val="32"/>
        </w:rPr>
        <w:t>进一步规范网站、微信、“全民城管”</w:t>
      </w:r>
      <w:r>
        <w:rPr>
          <w:rFonts w:ascii="仿宋_GB2312" w:hAnsi="仿宋_GB2312" w:eastAsia="仿宋_GB2312" w:cs="仿宋_GB2312"/>
          <w:sz w:val="32"/>
          <w:szCs w:val="32"/>
        </w:rPr>
        <w:t>APP</w:t>
      </w:r>
      <w:r>
        <w:rPr>
          <w:rFonts w:hint="eastAsia" w:ascii="仿宋_GB2312" w:hAnsi="仿宋_GB2312" w:eastAsia="仿宋_GB2312" w:cs="仿宋_GB2312"/>
          <w:sz w:val="32"/>
          <w:szCs w:val="32"/>
        </w:rPr>
        <w:t>等平台运行维护，充分发挥“互联网+”思维，及时发布政府信息，宣传城市管理与综合行政执法工作</w:t>
      </w:r>
      <w:r>
        <w:rPr>
          <w:rFonts w:ascii="仿宋_GB2312" w:hAnsi="仿宋_GB2312" w:eastAsia="仿宋_GB2312" w:cs="仿宋_GB2312"/>
          <w:sz w:val="32"/>
          <w:szCs w:val="32"/>
        </w:rPr>
        <w:t>,提高服务保障水平。</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kern w:val="0"/>
          <w:sz w:val="32"/>
          <w:szCs w:val="32"/>
          <w:lang w:val="en-US" w:eastAsia="zh-CN" w:bidi="ar"/>
        </w:rPr>
        <w:t>（一）收取信息处理费的情况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2021年度未收取政府信息公开信息处理费，包括：检索费、复制费（含案卷材料复制费）、邮寄费。</w:t>
      </w:r>
    </w:p>
    <w:p>
      <w:pPr>
        <w:widowControl/>
        <w:numPr>
          <w:ilvl w:val="0"/>
          <w:numId w:val="0"/>
        </w:numPr>
        <w:shd w:val="clear" w:color="auto" w:fill="FFFFFF"/>
        <w:spacing w:line="560" w:lineRule="exact"/>
        <w:ind w:left="640" w:leftChars="0"/>
        <w:jc w:val="left"/>
      </w:pPr>
      <w:r>
        <w:rPr>
          <w:rFonts w:hint="eastAsia" w:ascii="楷体_GB2312" w:hAnsi="楷体_GB2312" w:eastAsia="楷体_GB2312" w:cs="楷体_GB2312"/>
          <w:kern w:val="0"/>
          <w:sz w:val="32"/>
          <w:szCs w:val="32"/>
          <w:lang w:val="en-US" w:eastAsia="zh-CN" w:bidi="ar"/>
        </w:rPr>
        <w:t>（二）落实安丘市2021年度政务公开工作要点情况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楷体_GB2312" w:hAnsi="仿宋_GB2312" w:eastAsia="楷体_GB2312" w:cs="仿宋_GB2312"/>
          <w:sz w:val="32"/>
          <w:szCs w:val="32"/>
        </w:rPr>
      </w:pPr>
      <w:r>
        <w:rPr>
          <w:rFonts w:hint="eastAsia" w:ascii="仿宋_GB2312" w:hAnsi="微软雅黑" w:eastAsia="仿宋_GB2312" w:cs="仿宋_GB2312"/>
          <w:color w:val="333333"/>
          <w:kern w:val="0"/>
          <w:sz w:val="32"/>
          <w:szCs w:val="32"/>
          <w:lang w:val="en-US" w:eastAsia="zh-CN" w:bidi="ar"/>
        </w:rPr>
        <w:t>严格落实</w:t>
      </w:r>
      <w:r>
        <w:rPr>
          <w:rFonts w:ascii="仿宋_GB2312" w:hAnsi="微软雅黑" w:eastAsia="仿宋_GB2312" w:cs="仿宋_GB2312"/>
          <w:color w:val="333333"/>
          <w:kern w:val="0"/>
          <w:sz w:val="32"/>
          <w:szCs w:val="32"/>
          <w:lang w:val="en-US" w:eastAsia="zh-CN" w:bidi="ar"/>
        </w:rPr>
        <w:t>《安丘市人民政府办公室关于印发</w:t>
      </w:r>
      <w:r>
        <w:rPr>
          <w:rFonts w:hint="eastAsia" w:ascii="仿宋_GB2312" w:hAnsi="微软雅黑" w:eastAsia="仿宋_GB2312" w:cs="仿宋_GB2312"/>
          <w:color w:val="333333"/>
          <w:kern w:val="0"/>
          <w:sz w:val="32"/>
          <w:szCs w:val="32"/>
          <w:lang w:val="en-US" w:eastAsia="zh-CN" w:bidi="ar"/>
        </w:rPr>
        <w:t>2021年安丘市政务公开重点工作任务分工的通知》，</w:t>
      </w:r>
      <w:r>
        <w:rPr>
          <w:rFonts w:hint="eastAsia" w:ascii="仿宋_GB2312" w:hAnsi="微软雅黑" w:eastAsia="仿宋_GB2312" w:cs="宋体"/>
          <w:color w:val="333333"/>
          <w:kern w:val="0"/>
          <w:sz w:val="32"/>
          <w:szCs w:val="32"/>
        </w:rPr>
        <w:t>制定《</w:t>
      </w:r>
      <w:r>
        <w:rPr>
          <w:rFonts w:hint="eastAsia" w:ascii="微软雅黑" w:hAnsi="微软雅黑" w:eastAsia="微软雅黑" w:cs="宋体"/>
          <w:color w:val="333333"/>
          <w:kern w:val="0"/>
          <w:sz w:val="24"/>
          <w:szCs w:val="24"/>
        </w:rPr>
        <w:t>202</w:t>
      </w:r>
      <w:r>
        <w:rPr>
          <w:rFonts w:hint="eastAsia" w:ascii="微软雅黑" w:hAnsi="微软雅黑" w:eastAsia="微软雅黑" w:cs="宋体"/>
          <w:color w:val="333333"/>
          <w:kern w:val="0"/>
          <w:sz w:val="24"/>
          <w:szCs w:val="24"/>
          <w:lang w:val="en-US" w:eastAsia="zh-CN"/>
        </w:rPr>
        <w:t>1</w:t>
      </w:r>
      <w:r>
        <w:rPr>
          <w:rFonts w:hint="eastAsia" w:ascii="仿宋_GB2312" w:hAnsi="微软雅黑" w:eastAsia="仿宋_GB2312" w:cs="宋体"/>
          <w:color w:val="333333"/>
          <w:kern w:val="0"/>
          <w:sz w:val="32"/>
          <w:szCs w:val="32"/>
        </w:rPr>
        <w:t>年政务公开工作实施方案》，明确政府信息公开工作原则、年度任务和工作要求。梳理完成《安丘市综合行政执法局政府信息主动公开基本目录》，进一步明确政府信息公开的内容、时限、形式、主体等要素。</w:t>
      </w:r>
    </w:p>
    <w:p>
      <w:pPr>
        <w:widowControl/>
        <w:shd w:val="clear" w:color="auto" w:fill="FFFFFF"/>
        <w:spacing w:line="560" w:lineRule="exact"/>
        <w:ind w:left="319" w:leftChars="152" w:firstLine="652" w:firstLineChars="204"/>
        <w:jc w:val="left"/>
        <w:rPr>
          <w:rFonts w:ascii="楷体_GB2312" w:hAnsi="仿宋_GB2312" w:eastAsia="楷体_GB2312" w:cs="仿宋_GB2312"/>
          <w:sz w:val="32"/>
          <w:szCs w:val="32"/>
        </w:rPr>
      </w:pPr>
      <w:r>
        <w:rPr>
          <w:rFonts w:hint="eastAsia" w:ascii="楷体_GB2312" w:hAnsi="仿宋_GB2312" w:eastAsia="楷体_GB2312" w:cs="仿宋_GB2312"/>
          <w:sz w:val="32"/>
          <w:szCs w:val="32"/>
        </w:rPr>
        <w:t>（</w:t>
      </w:r>
      <w:r>
        <w:rPr>
          <w:rFonts w:hint="eastAsia" w:ascii="楷体_GB2312" w:hAnsi="仿宋_GB2312" w:eastAsia="楷体_GB2312" w:cs="仿宋_GB2312"/>
          <w:sz w:val="32"/>
          <w:szCs w:val="32"/>
          <w:lang w:val="en-US" w:eastAsia="zh-CN"/>
        </w:rPr>
        <w:t>三</w:t>
      </w:r>
      <w:r>
        <w:rPr>
          <w:rFonts w:hint="eastAsia" w:ascii="楷体_GB2312" w:hAnsi="仿宋_GB2312" w:eastAsia="楷体_GB2312" w:cs="仿宋_GB2312"/>
          <w:sz w:val="32"/>
          <w:szCs w:val="32"/>
        </w:rPr>
        <w:t>）</w:t>
      </w:r>
      <w:r>
        <w:rPr>
          <w:rFonts w:hint="eastAsia" w:ascii="楷体_GB2312" w:hAnsi="楷体_GB2312" w:eastAsia="楷体_GB2312" w:cs="楷体_GB2312"/>
          <w:kern w:val="0"/>
          <w:sz w:val="32"/>
          <w:szCs w:val="32"/>
          <w:lang w:val="en-US" w:eastAsia="zh-CN" w:bidi="ar"/>
        </w:rPr>
        <w:t>人大代表建议和政协委员提案办理结果公开情况。</w:t>
      </w:r>
      <w:bookmarkStart w:id="2" w:name="_GoBack"/>
      <w:bookmarkEnd w:id="2"/>
    </w:p>
    <w:p>
      <w:pPr>
        <w:widowControl/>
        <w:shd w:val="clear" w:color="auto" w:fill="FFFFFF"/>
        <w:spacing w:line="560" w:lineRule="exact"/>
        <w:ind w:firstLine="640"/>
        <w:jc w:val="left"/>
        <w:rPr>
          <w:rFonts w:hint="eastAsia" w:ascii="仿宋_GB2312" w:hAnsi="微软雅黑" w:eastAsia="仿宋_GB2312" w:cs="宋体"/>
          <w:color w:val="333333"/>
          <w:kern w:val="0"/>
          <w:sz w:val="32"/>
          <w:szCs w:val="32"/>
        </w:rPr>
      </w:pPr>
      <w:r>
        <w:rPr>
          <w:rFonts w:hint="eastAsia" w:ascii="仿宋_GB2312" w:hAnsi="仿宋_GB2312" w:eastAsia="仿宋_GB2312" w:cs="仿宋_GB2312"/>
          <w:sz w:val="32"/>
          <w:szCs w:val="32"/>
        </w:rPr>
        <w:t>2021年度，我局受理人大建议1件采纳代表建议1件，满意程度100%。</w:t>
      </w:r>
      <w:bookmarkStart w:id="1" w:name="_Hlk93570741"/>
      <w:r>
        <w:rPr>
          <w:rFonts w:hint="eastAsia" w:ascii="仿宋_GB2312" w:hAnsi="仿宋_GB2312" w:eastAsia="仿宋_GB2312" w:cs="仿宋_GB2312"/>
          <w:sz w:val="32"/>
          <w:szCs w:val="32"/>
        </w:rPr>
        <w:t>政协提案</w:t>
      </w:r>
      <w:bookmarkEnd w:id="1"/>
      <w:r>
        <w:rPr>
          <w:rFonts w:hint="eastAsia" w:ascii="仿宋_GB2312" w:hAnsi="仿宋_GB2312" w:eastAsia="仿宋_GB2312" w:cs="仿宋_GB2312"/>
          <w:sz w:val="32"/>
          <w:szCs w:val="32"/>
        </w:rPr>
        <w:t>19件已全部办理，采纳委员提案15件，剩余4件提案与相关法规规定不符、经与各提案委员沟通解释已得到各委员理解，不予以采纳，满意率100%。2020年我局</w:t>
      </w:r>
      <w:r>
        <w:rPr>
          <w:rFonts w:hint="eastAsia" w:ascii="仿宋_GB2312" w:hAnsi="微软雅黑" w:eastAsia="仿宋_GB2312" w:cs="宋体"/>
          <w:color w:val="333333"/>
          <w:kern w:val="0"/>
          <w:sz w:val="32"/>
          <w:szCs w:val="32"/>
        </w:rPr>
        <w:t>承办人大代表建议1件、</w:t>
      </w:r>
      <w:r>
        <w:rPr>
          <w:rFonts w:hint="eastAsia" w:ascii="仿宋_GB2312" w:hAnsi="仿宋_GB2312" w:eastAsia="仿宋_GB2312" w:cs="仿宋_GB2312"/>
          <w:sz w:val="32"/>
          <w:szCs w:val="32"/>
        </w:rPr>
        <w:t>政协提案</w:t>
      </w:r>
      <w:r>
        <w:rPr>
          <w:rFonts w:hint="eastAsia" w:ascii="仿宋_GB2312" w:hAnsi="微软雅黑" w:eastAsia="仿宋_GB2312" w:cs="宋体"/>
          <w:color w:val="333333"/>
          <w:kern w:val="0"/>
          <w:sz w:val="32"/>
          <w:szCs w:val="32"/>
        </w:rPr>
        <w:t>5件。相比去年增加政协提案14件。</w:t>
      </w:r>
    </w:p>
    <w:p>
      <w:pPr>
        <w:widowControl/>
        <w:numPr>
          <w:ilvl w:val="0"/>
          <w:numId w:val="5"/>
        </w:numPr>
        <w:shd w:val="clear" w:color="auto" w:fill="FFFFFF"/>
        <w:spacing w:line="560" w:lineRule="exact"/>
        <w:ind w:firstLine="640" w:firstLineChars="200"/>
        <w:jc w:val="left"/>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安丘市综合行政执法局2021年度政务公开工作创新情况</w:t>
      </w:r>
    </w:p>
    <w:p>
      <w:pPr>
        <w:pStyle w:val="2"/>
        <w:numPr>
          <w:ilvl w:val="0"/>
          <w:numId w:val="0"/>
        </w:numPr>
        <w:rPr>
          <w:rFonts w:hint="default" w:eastAsiaTheme="minorEastAsia"/>
          <w:lang w:val="en-US" w:eastAsia="zh-CN"/>
        </w:rPr>
      </w:pP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 xml:space="preserve"> 建立“城管零距离”品牌通过网站、电视台、报纸等各种媒体推广工作落实，拉近了群众距离。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（五）安丘市综合行政执法局2021年度政府信息公开工作年度报告数据统计需要说明的事项</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本年度报告中所列各项数据的统计期限自2021年1月1日至2021年12月31日。</w:t>
      </w:r>
      <w:r>
        <w:rPr>
          <w:rFonts w:hint="eastAsia" w:ascii="仿宋_GB2312" w:hAnsi="仿宋_GB2312" w:eastAsia="仿宋_GB2312" w:cs="仿宋_GB2312"/>
          <w:color w:val="333333"/>
          <w:sz w:val="32"/>
          <w:szCs w:val="32"/>
          <w:shd w:val="clear" w:color="auto" w:fill="FFFFFF"/>
        </w:rPr>
        <w:t>本年度报告的电子版可在安丘市人民政府门户网站（http://www.anqiu.gov.cn/）下载。如对本报告有任何疑问，请与安丘市综合执法局联系，</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地址：</w:t>
      </w:r>
      <w:r>
        <w:rPr>
          <w:rFonts w:ascii="仿宋_GB2312" w:hAnsi="仿宋_GB2312" w:eastAsia="仿宋_GB2312" w:cs="仿宋_GB2312"/>
          <w:color w:val="333333"/>
          <w:sz w:val="32"/>
          <w:szCs w:val="32"/>
          <w:shd w:val="clear" w:color="auto" w:fill="FFFFFF"/>
        </w:rPr>
        <w:t>安丘市文汇街中段</w:t>
      </w:r>
      <w:r>
        <w:rPr>
          <w:rFonts w:hint="eastAsia" w:ascii="仿宋_GB2312" w:hAnsi="仿宋_GB2312" w:eastAsia="仿宋_GB2312" w:cs="仿宋_GB2312"/>
          <w:color w:val="333333"/>
          <w:sz w:val="32"/>
          <w:szCs w:val="32"/>
          <w:shd w:val="clear" w:color="auto" w:fill="FFFFFF"/>
        </w:rPr>
        <w:t>市民之家2号馆三楼服务大厅，邮编：262100，电话：0536-</w:t>
      </w:r>
      <w:r>
        <w:rPr>
          <w:rFonts w:ascii="仿宋_GB2312" w:hAnsi="仿宋_GB2312" w:eastAsia="仿宋_GB2312" w:cs="仿宋_GB2312"/>
          <w:color w:val="333333"/>
          <w:sz w:val="32"/>
          <w:szCs w:val="32"/>
          <w:shd w:val="clear" w:color="auto" w:fill="FFFFFF"/>
        </w:rPr>
        <w:t>4291919</w:t>
      </w:r>
      <w:r>
        <w:rPr>
          <w:rFonts w:hint="eastAsia" w:ascii="仿宋_GB2312" w:hAnsi="仿宋_GB2312" w:eastAsia="仿宋_GB2312" w:cs="仿宋_GB2312"/>
          <w:color w:val="333333"/>
          <w:sz w:val="32"/>
          <w:szCs w:val="32"/>
          <w:shd w:val="clear" w:color="auto" w:fill="FFFFFF"/>
        </w:rPr>
        <w:t>，传真：0536-4231713，电子邮箱：</w:t>
      </w:r>
      <w:r>
        <w:rPr>
          <w:rFonts w:hint="eastAsia" w:ascii="仿宋_GB2312" w:hAnsi="仿宋_GB2312" w:eastAsia="仿宋_GB2312" w:cs="仿宋_GB2312"/>
          <w:color w:val="333333"/>
          <w:sz w:val="32"/>
          <w:szCs w:val="32"/>
          <w:u w:val="none"/>
          <w:shd w:val="clear" w:color="auto" w:fill="FFFFFF"/>
        </w:rPr>
        <w:t>aqcgzhk@wf.shandong.cn</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（六）安丘市综合行政执法局2021年度没有其他需要报告的事项。</w:t>
      </w:r>
    </w:p>
    <w:p>
      <w:pPr>
        <w:pStyle w:val="2"/>
        <w:numPr>
          <w:ilvl w:val="0"/>
          <w:numId w:val="0"/>
        </w:numPr>
        <w:ind w:leftChars="0"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（七）安丘市综合行政执法局本年度没有其他有关文件专门要求通过政府信息公开工作年度报告予以报告的事项。</w:t>
      </w:r>
    </w:p>
    <w:p>
      <w:pPr>
        <w:pStyle w:val="2"/>
      </w:pPr>
    </w:p>
    <w:p>
      <w:pPr>
        <w:widowControl/>
        <w:shd w:val="clear" w:color="auto" w:fill="FFFFFF"/>
        <w:spacing w:line="560" w:lineRule="exact"/>
        <w:ind w:firstLine="640"/>
        <w:jc w:val="righ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 </w:t>
      </w:r>
      <w:r>
        <w:rPr>
          <w:rFonts w:ascii="仿宋_GB2312" w:hAnsi="微软雅黑" w:eastAsia="仿宋_GB2312" w:cs="宋体"/>
          <w:color w:val="333333"/>
          <w:kern w:val="0"/>
          <w:sz w:val="32"/>
          <w:szCs w:val="32"/>
        </w:rPr>
        <w:t xml:space="preserve">                                          </w:t>
      </w:r>
    </w:p>
    <w:p>
      <w:pPr>
        <w:widowControl/>
        <w:shd w:val="clear" w:color="auto" w:fill="FFFFFF"/>
        <w:spacing w:line="560" w:lineRule="exact"/>
        <w:ind w:firstLine="640"/>
        <w:jc w:val="left"/>
        <w:rPr>
          <w:rFonts w:ascii="仿宋_GB2312" w:hAnsi="微软雅黑" w:eastAsia="仿宋_GB2312" w:cs="宋体"/>
          <w:color w:val="333333"/>
          <w:kern w:val="0"/>
          <w:sz w:val="32"/>
          <w:szCs w:val="32"/>
        </w:rPr>
      </w:pPr>
    </w:p>
    <w:p>
      <w:pPr>
        <w:widowControl/>
        <w:shd w:val="clear" w:color="auto" w:fill="FFFFFF"/>
        <w:spacing w:line="560" w:lineRule="exac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 </w:t>
      </w:r>
      <w:r>
        <w:rPr>
          <w:rFonts w:ascii="仿宋_GB2312" w:hAnsi="微软雅黑" w:eastAsia="仿宋_GB2312" w:cs="宋体"/>
          <w:color w:val="333333"/>
          <w:kern w:val="0"/>
          <w:sz w:val="32"/>
          <w:szCs w:val="32"/>
        </w:rPr>
        <w:t xml:space="preserve">                          </w:t>
      </w:r>
      <w:r>
        <w:rPr>
          <w:rFonts w:hint="eastAsia" w:ascii="仿宋_GB2312" w:hAnsi="微软雅黑" w:eastAsia="仿宋_GB2312" w:cs="宋体"/>
          <w:color w:val="333333"/>
          <w:kern w:val="0"/>
          <w:sz w:val="32"/>
          <w:szCs w:val="32"/>
        </w:rPr>
        <w:t>安丘市综合行政执法局</w:t>
      </w:r>
    </w:p>
    <w:p>
      <w:pPr>
        <w:widowControl/>
        <w:shd w:val="clear" w:color="auto" w:fill="FFFFFF"/>
        <w:spacing w:line="560" w:lineRule="exact"/>
        <w:ind w:right="640" w:firstLine="640"/>
        <w:jc w:val="righ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w:t>
      </w:r>
      <w:r>
        <w:rPr>
          <w:rFonts w:ascii="仿宋_GB2312" w:hAnsi="微软雅黑" w:eastAsia="仿宋_GB2312" w:cs="宋体"/>
          <w:color w:val="333333"/>
          <w:kern w:val="0"/>
          <w:sz w:val="32"/>
          <w:szCs w:val="32"/>
        </w:rPr>
        <w:t>022</w:t>
      </w:r>
      <w:r>
        <w:rPr>
          <w:rFonts w:hint="eastAsia" w:ascii="仿宋_GB2312" w:hAnsi="微软雅黑" w:eastAsia="仿宋_GB2312" w:cs="宋体"/>
          <w:color w:val="333333"/>
          <w:kern w:val="0"/>
          <w:sz w:val="32"/>
          <w:szCs w:val="32"/>
        </w:rPr>
        <w:t>年1月2</w:t>
      </w:r>
      <w:r>
        <w:rPr>
          <w:rFonts w:ascii="仿宋_GB2312" w:hAnsi="微软雅黑" w:eastAsia="仿宋_GB2312" w:cs="宋体"/>
          <w:color w:val="333333"/>
          <w:kern w:val="0"/>
          <w:sz w:val="32"/>
          <w:szCs w:val="32"/>
        </w:rPr>
        <w:t>4</w:t>
      </w:r>
      <w:r>
        <w:rPr>
          <w:rFonts w:hint="eastAsia" w:ascii="仿宋_GB2312" w:hAnsi="微软雅黑" w:eastAsia="仿宋_GB2312" w:cs="宋体"/>
          <w:color w:val="333333"/>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068A26"/>
    <w:multiLevelType w:val="singleLevel"/>
    <w:tmpl w:val="CC068A26"/>
    <w:lvl w:ilvl="0" w:tentative="0">
      <w:start w:val="4"/>
      <w:numFmt w:val="chineseCounting"/>
      <w:suff w:val="nothing"/>
      <w:lvlText w:val="（%1）"/>
      <w:lvlJc w:val="left"/>
      <w:rPr>
        <w:rFonts w:hint="eastAsia"/>
      </w:rPr>
    </w:lvl>
  </w:abstractNum>
  <w:abstractNum w:abstractNumId="1">
    <w:nsid w:val="181057D0"/>
    <w:multiLevelType w:val="multilevel"/>
    <w:tmpl w:val="181057D0"/>
    <w:lvl w:ilvl="0" w:tentative="0">
      <w:start w:val="3"/>
      <w:numFmt w:val="japaneseCounting"/>
      <w:lvlText w:val="（%1）"/>
      <w:lvlJc w:val="left"/>
      <w:pPr>
        <w:ind w:left="1080" w:hanging="108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0FDAC19"/>
    <w:multiLevelType w:val="singleLevel"/>
    <w:tmpl w:val="30FDAC19"/>
    <w:lvl w:ilvl="0" w:tentative="0">
      <w:start w:val="1"/>
      <w:numFmt w:val="chineseCounting"/>
      <w:suff w:val="nothing"/>
      <w:lvlText w:val="%1、"/>
      <w:lvlJc w:val="left"/>
      <w:rPr>
        <w:rFonts w:hint="eastAsia"/>
      </w:rPr>
    </w:lvl>
  </w:abstractNum>
  <w:abstractNum w:abstractNumId="3">
    <w:nsid w:val="559A4D45"/>
    <w:multiLevelType w:val="multilevel"/>
    <w:tmpl w:val="559A4D45"/>
    <w:lvl w:ilvl="0" w:tentative="0">
      <w:start w:val="1"/>
      <w:numFmt w:val="japaneseCounting"/>
      <w:lvlText w:val="（%1）"/>
      <w:lvlJc w:val="left"/>
      <w:pPr>
        <w:ind w:left="1585" w:hanging="94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6B502AA9"/>
    <w:multiLevelType w:val="singleLevel"/>
    <w:tmpl w:val="6B502AA9"/>
    <w:lvl w:ilvl="0" w:tentative="0">
      <w:start w:val="1"/>
      <w:numFmt w:val="decimal"/>
      <w:lvlText w:val="%1."/>
      <w:lvlJc w:val="left"/>
      <w:pPr>
        <w:tabs>
          <w:tab w:val="left" w:pos="312"/>
        </w:tabs>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8E4"/>
    <w:rsid w:val="000143AC"/>
    <w:rsid w:val="0004232B"/>
    <w:rsid w:val="000520F5"/>
    <w:rsid w:val="000E5E61"/>
    <w:rsid w:val="00110370"/>
    <w:rsid w:val="00130444"/>
    <w:rsid w:val="00161120"/>
    <w:rsid w:val="00186AC6"/>
    <w:rsid w:val="00195369"/>
    <w:rsid w:val="001C1843"/>
    <w:rsid w:val="002558D5"/>
    <w:rsid w:val="0025668D"/>
    <w:rsid w:val="002611B5"/>
    <w:rsid w:val="002D4776"/>
    <w:rsid w:val="002E3055"/>
    <w:rsid w:val="00371F98"/>
    <w:rsid w:val="003C5B99"/>
    <w:rsid w:val="00405885"/>
    <w:rsid w:val="00411D41"/>
    <w:rsid w:val="00432810"/>
    <w:rsid w:val="00443F0D"/>
    <w:rsid w:val="004974B6"/>
    <w:rsid w:val="004F04CC"/>
    <w:rsid w:val="004F594E"/>
    <w:rsid w:val="005018F9"/>
    <w:rsid w:val="0050438B"/>
    <w:rsid w:val="00532064"/>
    <w:rsid w:val="00532296"/>
    <w:rsid w:val="00533208"/>
    <w:rsid w:val="00571E2C"/>
    <w:rsid w:val="005921C6"/>
    <w:rsid w:val="005954EA"/>
    <w:rsid w:val="00610818"/>
    <w:rsid w:val="00620F46"/>
    <w:rsid w:val="00695046"/>
    <w:rsid w:val="006B23B7"/>
    <w:rsid w:val="00704A90"/>
    <w:rsid w:val="007060C4"/>
    <w:rsid w:val="00715C83"/>
    <w:rsid w:val="007273E4"/>
    <w:rsid w:val="007704CC"/>
    <w:rsid w:val="007939EC"/>
    <w:rsid w:val="007D6F97"/>
    <w:rsid w:val="007F1A0D"/>
    <w:rsid w:val="007F61E9"/>
    <w:rsid w:val="00841E2B"/>
    <w:rsid w:val="008555EA"/>
    <w:rsid w:val="008560CC"/>
    <w:rsid w:val="008819AC"/>
    <w:rsid w:val="00891A10"/>
    <w:rsid w:val="008B44C5"/>
    <w:rsid w:val="00947EA7"/>
    <w:rsid w:val="009570C2"/>
    <w:rsid w:val="009C56E9"/>
    <w:rsid w:val="009F099B"/>
    <w:rsid w:val="00A25B75"/>
    <w:rsid w:val="00A33146"/>
    <w:rsid w:val="00AA409F"/>
    <w:rsid w:val="00AA553E"/>
    <w:rsid w:val="00AD1D71"/>
    <w:rsid w:val="00AE231B"/>
    <w:rsid w:val="00B04C4D"/>
    <w:rsid w:val="00B07624"/>
    <w:rsid w:val="00B11624"/>
    <w:rsid w:val="00B4443A"/>
    <w:rsid w:val="00B709D1"/>
    <w:rsid w:val="00B96317"/>
    <w:rsid w:val="00BA523C"/>
    <w:rsid w:val="00BB08FF"/>
    <w:rsid w:val="00BB4DD7"/>
    <w:rsid w:val="00BC0CDA"/>
    <w:rsid w:val="00BC5B1A"/>
    <w:rsid w:val="00BF4AE6"/>
    <w:rsid w:val="00C13C1A"/>
    <w:rsid w:val="00C26511"/>
    <w:rsid w:val="00C51CFD"/>
    <w:rsid w:val="00CB366F"/>
    <w:rsid w:val="00D0662C"/>
    <w:rsid w:val="00D41D0C"/>
    <w:rsid w:val="00D52A73"/>
    <w:rsid w:val="00D97F35"/>
    <w:rsid w:val="00DA02F8"/>
    <w:rsid w:val="00DD2136"/>
    <w:rsid w:val="00DD2BF1"/>
    <w:rsid w:val="00DE0A05"/>
    <w:rsid w:val="00DE25CC"/>
    <w:rsid w:val="00E02EF8"/>
    <w:rsid w:val="00E12DBD"/>
    <w:rsid w:val="00E64290"/>
    <w:rsid w:val="00E875E0"/>
    <w:rsid w:val="00E968C7"/>
    <w:rsid w:val="00E97F26"/>
    <w:rsid w:val="00EC5924"/>
    <w:rsid w:val="00F20157"/>
    <w:rsid w:val="00F27321"/>
    <w:rsid w:val="00F4010D"/>
    <w:rsid w:val="00F554B7"/>
    <w:rsid w:val="00F638E4"/>
    <w:rsid w:val="00F67D65"/>
    <w:rsid w:val="00F71483"/>
    <w:rsid w:val="00F7169F"/>
    <w:rsid w:val="00FC483F"/>
    <w:rsid w:val="00FD16BD"/>
    <w:rsid w:val="00FE2E3C"/>
    <w:rsid w:val="00FF398C"/>
    <w:rsid w:val="08DD2E31"/>
    <w:rsid w:val="09680C0B"/>
    <w:rsid w:val="0AAD43E6"/>
    <w:rsid w:val="0D3E3AC5"/>
    <w:rsid w:val="1586774A"/>
    <w:rsid w:val="15A8039B"/>
    <w:rsid w:val="1C903CCB"/>
    <w:rsid w:val="21B6759C"/>
    <w:rsid w:val="4162534B"/>
    <w:rsid w:val="4D245859"/>
    <w:rsid w:val="4DF201FB"/>
    <w:rsid w:val="4FC0394C"/>
    <w:rsid w:val="56334305"/>
    <w:rsid w:val="5BF32EFE"/>
    <w:rsid w:val="5CC54D71"/>
    <w:rsid w:val="628D3785"/>
    <w:rsid w:val="70E0196D"/>
    <w:rsid w:val="71612F70"/>
    <w:rsid w:val="7B845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6"/>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link w:val="14"/>
    <w:qFormat/>
    <w:uiPriority w:val="0"/>
    <w:pPr>
      <w:jc w:val="left"/>
    </w:pPr>
    <w:rPr>
      <w:rFonts w:ascii="Calibri" w:hAnsi="Calibri" w:eastAsia="宋体" w:cs="Times New Roman"/>
      <w:szCs w:val="24"/>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character" w:styleId="10">
    <w:name w:val="Strong"/>
    <w:basedOn w:val="9"/>
    <w:qFormat/>
    <w:uiPriority w:val="22"/>
    <w:rPr>
      <w:b/>
    </w:rPr>
  </w:style>
  <w:style w:type="character" w:styleId="11">
    <w:name w:val="FollowedHyperlink"/>
    <w:basedOn w:val="9"/>
    <w:semiHidden/>
    <w:unhideWhenUsed/>
    <w:qFormat/>
    <w:uiPriority w:val="99"/>
    <w:rPr>
      <w:rFonts w:hint="eastAsia" w:ascii="微软雅黑" w:hAnsi="微软雅黑" w:eastAsia="微软雅黑" w:cs="微软雅黑"/>
      <w:color w:val="800080"/>
      <w:u w:val="none"/>
    </w:rPr>
  </w:style>
  <w:style w:type="character" w:styleId="12">
    <w:name w:val="Hyperlink"/>
    <w:basedOn w:val="9"/>
    <w:semiHidden/>
    <w:unhideWhenUsed/>
    <w:qFormat/>
    <w:uiPriority w:val="99"/>
    <w:rPr>
      <w:rFonts w:ascii="微软雅黑" w:hAnsi="微软雅黑" w:eastAsia="微软雅黑" w:cs="微软雅黑"/>
      <w:color w:val="0000FF"/>
      <w:u w:val="none"/>
    </w:rPr>
  </w:style>
  <w:style w:type="character" w:styleId="13">
    <w:name w:val="annotation reference"/>
    <w:basedOn w:val="9"/>
    <w:semiHidden/>
    <w:unhideWhenUsed/>
    <w:qFormat/>
    <w:uiPriority w:val="99"/>
    <w:rPr>
      <w:sz w:val="21"/>
      <w:szCs w:val="21"/>
    </w:rPr>
  </w:style>
  <w:style w:type="character" w:customStyle="1" w:styleId="14">
    <w:name w:val="批注文字 字符"/>
    <w:basedOn w:val="9"/>
    <w:link w:val="4"/>
    <w:qFormat/>
    <w:uiPriority w:val="0"/>
    <w:rPr>
      <w:rFonts w:ascii="Calibri" w:hAnsi="Calibri" w:eastAsia="宋体" w:cs="Times New Roman"/>
      <w:szCs w:val="24"/>
    </w:rPr>
  </w:style>
  <w:style w:type="paragraph" w:styleId="15">
    <w:name w:val="List Paragraph"/>
    <w:basedOn w:val="1"/>
    <w:qFormat/>
    <w:uiPriority w:val="34"/>
    <w:pPr>
      <w:ind w:firstLine="420" w:firstLineChars="200"/>
    </w:pPr>
  </w:style>
  <w:style w:type="character" w:customStyle="1" w:styleId="16">
    <w:name w:val="标题 3 字符"/>
    <w:basedOn w:val="9"/>
    <w:link w:val="3"/>
    <w:semiHidden/>
    <w:qFormat/>
    <w:uiPriority w:val="9"/>
    <w:rPr>
      <w:b/>
      <w:bCs/>
      <w:sz w:val="32"/>
      <w:szCs w:val="32"/>
    </w:rPr>
  </w:style>
  <w:style w:type="character" w:customStyle="1" w:styleId="17">
    <w:name w:val="页眉 字符"/>
    <w:basedOn w:val="9"/>
    <w:link w:val="6"/>
    <w:qFormat/>
    <w:uiPriority w:val="99"/>
    <w:rPr>
      <w:sz w:val="18"/>
      <w:szCs w:val="18"/>
    </w:rPr>
  </w:style>
  <w:style w:type="character" w:customStyle="1" w:styleId="18">
    <w:name w:val="页脚 字符"/>
    <w:basedOn w:val="9"/>
    <w:link w:val="5"/>
    <w:qFormat/>
    <w:uiPriority w:val="99"/>
    <w:rPr>
      <w:sz w:val="18"/>
      <w:szCs w:val="18"/>
    </w:rPr>
  </w:style>
  <w:style w:type="paragraph" w:customStyle="1" w:styleId="19">
    <w:name w:val="普通(网站) Char"/>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20">
    <w:name w:val="hover12"/>
    <w:basedOn w:val="9"/>
    <w:qFormat/>
    <w:uiPriority w:val="0"/>
    <w:rPr>
      <w:shd w:val="clear" w:fill="003D96"/>
    </w:rPr>
  </w:style>
  <w:style w:type="character" w:customStyle="1" w:styleId="21">
    <w:name w:val="hover11"/>
    <w:basedOn w:val="9"/>
    <w:qFormat/>
    <w:uiPriority w:val="0"/>
    <w:rPr>
      <w:shd w:val="clear" w:fill="003D9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近年来我单位收到政府信息公开申请变化情况表</a:t>
            </a:r>
          </a:p>
        </c:rich>
      </c:tx>
      <c:layout/>
      <c:overlay val="0"/>
      <c:spPr>
        <a:noFill/>
        <a:ln>
          <a:noFill/>
        </a:ln>
        <a:effectLst/>
      </c:spPr>
    </c:title>
    <c:autoTitleDeleted val="0"/>
    <c:plotArea>
      <c:layout>
        <c:manualLayout>
          <c:layoutTarget val="inner"/>
          <c:xMode val="edge"/>
          <c:yMode val="edge"/>
          <c:x val="0.058325"/>
          <c:y val="0.1215"/>
          <c:w val="0.927425"/>
          <c:h val="0.792733333333333"/>
        </c:manualLayout>
      </c:layout>
      <c:lineChart>
        <c:grouping val="standard"/>
        <c:varyColors val="0"/>
        <c:ser>
          <c:idx val="0"/>
          <c:order val="0"/>
          <c:tx>
            <c:strRef>
              <c:f>Sheet1!$B$1</c:f>
              <c:strCache>
                <c:ptCount val="1"/>
                <c:pt idx="0">
                  <c:v>安</c:v>
                </c:pt>
              </c:strCache>
            </c:strRef>
          </c:tx>
          <c:spPr>
            <a:ln w="28575" cap="rnd">
              <a:solidFill>
                <a:schemeClr val="accent1"/>
              </a:solidFill>
              <a:round/>
            </a:ln>
            <a:effectLst/>
          </c:spPr>
          <c:marker>
            <c:symbol val="none"/>
          </c:marker>
          <c:dLbls>
            <c:delete val="1"/>
          </c:dLbls>
          <c:cat>
            <c:numRef>
              <c:f>Sheet1!$A$2:$A$6</c:f>
              <c:numCache>
                <c:formatCode>General</c:formatCode>
                <c:ptCount val="5"/>
                <c:pt idx="0">
                  <c:v>2017</c:v>
                </c:pt>
                <c:pt idx="1">
                  <c:v>2018</c:v>
                </c:pt>
                <c:pt idx="2">
                  <c:v>2019</c:v>
                </c:pt>
                <c:pt idx="3">
                  <c:v>2020</c:v>
                </c:pt>
                <c:pt idx="4">
                  <c:v>2021</c:v>
                </c:pt>
              </c:numCache>
            </c:numRef>
          </c:cat>
          <c:val>
            <c:numRef>
              <c:f>Sheet1!$B$2:$B$6</c:f>
              <c:numCache>
                <c:formatCode>General</c:formatCode>
                <c:ptCount val="5"/>
                <c:pt idx="0">
                  <c:v>0</c:v>
                </c:pt>
                <c:pt idx="1">
                  <c:v>0</c:v>
                </c:pt>
                <c:pt idx="2">
                  <c:v>0</c:v>
                </c:pt>
                <c:pt idx="3">
                  <c:v>3</c:v>
                </c:pt>
                <c:pt idx="4">
                  <c:v>1</c:v>
                </c:pt>
              </c:numCache>
            </c:numRef>
          </c:val>
          <c:smooth val="0"/>
        </c:ser>
        <c:dLbls>
          <c:showLegendKey val="0"/>
          <c:showVal val="0"/>
          <c:showCatName val="0"/>
          <c:showSerName val="0"/>
          <c:showPercent val="0"/>
          <c:showBubbleSize val="0"/>
        </c:dLbls>
        <c:marker val="0"/>
        <c:smooth val="0"/>
        <c:axId val="741838251"/>
        <c:axId val="997539007"/>
      </c:lineChart>
      <c:catAx>
        <c:axId val="7418382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7539007"/>
        <c:crosses val="autoZero"/>
        <c:auto val="1"/>
        <c:lblAlgn val="ctr"/>
        <c:lblOffset val="100"/>
        <c:noMultiLvlLbl val="0"/>
      </c:catAx>
      <c:valAx>
        <c:axId val="997539007"/>
        <c:scaling>
          <c:orientation val="minMax"/>
          <c:max val="7"/>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1838251"/>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B5AC3E-7169-4FAE-947E-475067DFF580}">
  <ds:schemaRefs/>
</ds:datastoreItem>
</file>

<file path=docProps/app.xml><?xml version="1.0" encoding="utf-8"?>
<Properties xmlns="http://schemas.openxmlformats.org/officeDocument/2006/extended-properties" xmlns:vt="http://schemas.openxmlformats.org/officeDocument/2006/docPropsVTypes">
  <Template>Normal</Template>
  <Pages>9</Pages>
  <Words>3565</Words>
  <Characters>3762</Characters>
  <Lines>29</Lines>
  <Paragraphs>8</Paragraphs>
  <TotalTime>3</TotalTime>
  <ScaleCrop>false</ScaleCrop>
  <LinksUpToDate>false</LinksUpToDate>
  <CharactersWithSpaces>4023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2022-01-18T08:42:00Z</dcterms:created>
  <dc:creator>公室</dc:creator>
  <cp:lastModifiedBy>似梦非梦</cp:lastModifiedBy>
  <cp:lastPrinted>2022-01-20T06:51:00Z</cp:lastPrinted>
  <dcterms:modified xsi:type="dcterms:W3CDTF">2022-03-03T07:12:44Z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E2437033BABF4C78B9CCDECF3DF53F0D</vt:lpwstr>
  </property>
</Properties>
</file>