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安丘市石埠子镇人民政府2023年政府信息公开工作年度报告</w:t>
      </w:r>
    </w:p>
    <w:p>
      <w:pPr>
        <w:pStyle w:val="2"/>
        <w:rPr>
          <w:rFonts w:hint="eastAsia"/>
          <w:lang w:val="en-US"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一、总体情况</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2023年，安丘市石埠子镇人民政府在市委、市政府的正确领导下，进一步健全政府信息公开机制，严格落实信息发布审核规定，规范信息公开流程，确保政府信息更新及时、发布规范。</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仿宋_GB2312" w:hAnsi="仿宋_GB2312" w:eastAsia="仿宋_GB2312" w:cs="仿宋_GB2312"/>
          <w:b/>
          <w:bCs/>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highlight w:val="none"/>
          <w:shd w:val="clear" w:color="auto" w:fill="FFFFFF"/>
          <w:lang w:val="en-US" w:eastAsia="zh-CN" w:bidi="ar-SA"/>
        </w:rPr>
        <w:t>1.体制机制建设情况</w:t>
      </w:r>
    </w:p>
    <w:p>
      <w:pPr>
        <w:keepNext w:val="0"/>
        <w:keepLines w:val="0"/>
        <w:pageBreakBefore w:val="0"/>
        <w:shd w:val="clear" w:color="auto" w:fill="auto"/>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完善政府信息公开制度、政府信息主动公开、依申请公开等相关制度。建立了政务信息公开审核程序，保证了公开内容真实，完善政府信息公开工作的工作原则和流程。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pPr>
        <w:keepNext w:val="0"/>
        <w:keepLines w:val="0"/>
        <w:pageBreakBefore w:val="0"/>
        <w:shd w:val="clear" w:color="auto" w:fill="auto"/>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1</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rPr>
        <w:t>202</w:t>
      </w:r>
      <w:r>
        <w:rPr>
          <w:rFonts w:hint="eastAsia" w:ascii="仿宋_GB2312" w:hAnsi="仿宋_GB2312" w:eastAsia="仿宋_GB2312" w:cs="仿宋_GB2312"/>
          <w:b w:val="0"/>
          <w:bCs w:val="0"/>
          <w:color w:val="auto"/>
          <w:sz w:val="32"/>
          <w:szCs w:val="32"/>
          <w:highlight w:val="none"/>
          <w:shd w:val="clear" w:color="auto" w:fill="FFFFFF"/>
          <w:lang w:val="en-US" w:eastAsia="zh-CN"/>
        </w:rPr>
        <w:t>3</w:t>
      </w:r>
      <w:r>
        <w:rPr>
          <w:rFonts w:hint="eastAsia" w:ascii="仿宋_GB2312" w:hAnsi="仿宋_GB2312" w:eastAsia="仿宋_GB2312" w:cs="仿宋_GB2312"/>
          <w:b w:val="0"/>
          <w:bCs w:val="0"/>
          <w:color w:val="auto"/>
          <w:sz w:val="32"/>
          <w:szCs w:val="32"/>
          <w:highlight w:val="none"/>
          <w:shd w:val="clear" w:color="auto" w:fill="FFFFFF"/>
        </w:rPr>
        <w:t>年度</w:t>
      </w:r>
      <w:r>
        <w:rPr>
          <w:rFonts w:hint="eastAsia" w:ascii="仿宋_GB2312" w:hAnsi="仿宋_GB2312" w:eastAsia="仿宋_GB2312" w:cs="仿宋_GB2312"/>
          <w:b w:val="0"/>
          <w:bCs w:val="0"/>
          <w:color w:val="auto"/>
          <w:sz w:val="32"/>
          <w:szCs w:val="32"/>
          <w:highlight w:val="none"/>
          <w:shd w:val="clear" w:color="auto" w:fill="FFFFFF"/>
          <w:lang w:eastAsia="zh-CN"/>
        </w:rPr>
        <w:t>石埠子</w:t>
      </w:r>
      <w:r>
        <w:rPr>
          <w:rFonts w:hint="eastAsia" w:ascii="仿宋_GB2312" w:hAnsi="仿宋_GB2312" w:eastAsia="仿宋_GB2312" w:cs="仿宋_GB2312"/>
          <w:b w:val="0"/>
          <w:bCs w:val="0"/>
          <w:color w:val="auto"/>
          <w:sz w:val="32"/>
          <w:szCs w:val="32"/>
          <w:highlight w:val="none"/>
          <w:shd w:val="clear" w:color="auto" w:fill="FFFFFF"/>
        </w:rPr>
        <w:t>镇人民政府主动公开政府信息共</w:t>
      </w:r>
      <w:r>
        <w:rPr>
          <w:rFonts w:hint="eastAsia" w:ascii="仿宋_GB2312" w:hAnsi="仿宋_GB2312" w:eastAsia="仿宋_GB2312" w:cs="仿宋_GB2312"/>
          <w:b w:val="0"/>
          <w:bCs w:val="0"/>
          <w:color w:val="auto"/>
          <w:sz w:val="32"/>
          <w:szCs w:val="32"/>
          <w:highlight w:val="none"/>
          <w:shd w:val="clear" w:color="auto" w:fill="FFFFFF"/>
          <w:lang w:val="en-US" w:eastAsia="zh-CN"/>
        </w:rPr>
        <w:t>1611</w:t>
      </w:r>
      <w:r>
        <w:rPr>
          <w:rFonts w:hint="eastAsia" w:ascii="仿宋_GB2312" w:hAnsi="仿宋_GB2312" w:eastAsia="仿宋_GB2312" w:cs="仿宋_GB2312"/>
          <w:b w:val="0"/>
          <w:bCs w:val="0"/>
          <w:color w:val="auto"/>
          <w:sz w:val="32"/>
          <w:szCs w:val="32"/>
          <w:highlight w:val="none"/>
          <w:shd w:val="clear" w:color="auto" w:fill="FFFFFF"/>
        </w:rPr>
        <w:t>条，较去年增加</w:t>
      </w:r>
      <w:r>
        <w:rPr>
          <w:rFonts w:hint="eastAsia" w:ascii="仿宋_GB2312" w:hAnsi="仿宋_GB2312" w:eastAsia="仿宋_GB2312" w:cs="仿宋_GB2312"/>
          <w:b w:val="0"/>
          <w:bCs w:val="0"/>
          <w:color w:val="auto"/>
          <w:sz w:val="32"/>
          <w:szCs w:val="32"/>
          <w:highlight w:val="none"/>
          <w:shd w:val="clear" w:color="auto" w:fill="FFFFFF"/>
          <w:lang w:val="en-US" w:eastAsia="zh-CN"/>
        </w:rPr>
        <w:t>979</w:t>
      </w:r>
      <w:r>
        <w:rPr>
          <w:rFonts w:hint="eastAsia" w:ascii="仿宋_GB2312" w:hAnsi="仿宋_GB2312" w:eastAsia="仿宋_GB2312" w:cs="仿宋_GB2312"/>
          <w:b w:val="0"/>
          <w:bCs w:val="0"/>
          <w:color w:val="auto"/>
          <w:sz w:val="32"/>
          <w:szCs w:val="32"/>
          <w:highlight w:val="none"/>
          <w:shd w:val="clear" w:color="auto" w:fill="FFFFFF"/>
        </w:rPr>
        <w:t>条。通过安丘市人民政府门户网站公开信息</w:t>
      </w:r>
      <w:r>
        <w:rPr>
          <w:rFonts w:hint="eastAsia" w:ascii="仿宋_GB2312" w:hAnsi="仿宋_GB2312" w:eastAsia="仿宋_GB2312" w:cs="仿宋_GB2312"/>
          <w:b w:val="0"/>
          <w:bCs w:val="0"/>
          <w:color w:val="auto"/>
          <w:sz w:val="32"/>
          <w:szCs w:val="32"/>
          <w:highlight w:val="none"/>
          <w:shd w:val="clear" w:color="auto" w:fill="FFFFFF"/>
          <w:lang w:val="en-US" w:eastAsia="zh-CN"/>
        </w:rPr>
        <w:t>109</w:t>
      </w:r>
      <w:r>
        <w:rPr>
          <w:rFonts w:hint="eastAsia" w:ascii="仿宋_GB2312" w:hAnsi="仿宋_GB2312" w:eastAsia="仿宋_GB2312" w:cs="仿宋_GB2312"/>
          <w:b w:val="0"/>
          <w:bCs w:val="0"/>
          <w:color w:val="auto"/>
          <w:sz w:val="32"/>
          <w:szCs w:val="32"/>
          <w:highlight w:val="none"/>
          <w:shd w:val="clear" w:color="auto" w:fill="FFFFFF"/>
        </w:rPr>
        <w:t>条，“</w:t>
      </w:r>
      <w:r>
        <w:rPr>
          <w:rFonts w:hint="eastAsia" w:ascii="仿宋_GB2312" w:hAnsi="仿宋_GB2312" w:eastAsia="仿宋_GB2312" w:cs="仿宋_GB2312"/>
          <w:b w:val="0"/>
          <w:bCs w:val="0"/>
          <w:color w:val="auto"/>
          <w:sz w:val="32"/>
          <w:szCs w:val="32"/>
          <w:highlight w:val="none"/>
          <w:shd w:val="clear" w:color="auto" w:fill="FFFFFF"/>
          <w:lang w:eastAsia="zh-CN"/>
        </w:rPr>
        <w:t>浯水古镇</w:t>
      </w:r>
      <w:r>
        <w:rPr>
          <w:rFonts w:hint="eastAsia" w:ascii="仿宋_GB2312" w:hAnsi="仿宋_GB2312" w:eastAsia="仿宋_GB2312" w:cs="仿宋_GB2312"/>
          <w:b w:val="0"/>
          <w:bCs w:val="0"/>
          <w:color w:val="auto"/>
          <w:sz w:val="32"/>
          <w:szCs w:val="32"/>
          <w:highlight w:val="none"/>
          <w:shd w:val="clear" w:color="auto" w:fill="FFFFFF"/>
        </w:rPr>
        <w:t>”微信公众号</w:t>
      </w:r>
      <w:r>
        <w:rPr>
          <w:rFonts w:hint="eastAsia" w:ascii="仿宋_GB2312" w:hAnsi="仿宋_GB2312" w:eastAsia="仿宋_GB2312" w:cs="仿宋_GB2312"/>
          <w:b w:val="0"/>
          <w:bCs w:val="0"/>
          <w:color w:val="auto"/>
          <w:sz w:val="32"/>
          <w:szCs w:val="32"/>
          <w:highlight w:val="none"/>
          <w:shd w:val="clear" w:color="auto" w:fill="FFFFFF"/>
          <w:lang w:val="en-US" w:eastAsia="zh-CN"/>
        </w:rPr>
        <w:t>374</w:t>
      </w:r>
      <w:r>
        <w:rPr>
          <w:rFonts w:hint="eastAsia" w:ascii="仿宋_GB2312" w:hAnsi="仿宋_GB2312" w:eastAsia="仿宋_GB2312" w:cs="仿宋_GB2312"/>
          <w:b w:val="0"/>
          <w:bCs w:val="0"/>
          <w:color w:val="auto"/>
          <w:sz w:val="32"/>
          <w:szCs w:val="32"/>
          <w:highlight w:val="none"/>
          <w:shd w:val="clear" w:color="auto" w:fill="FFFFFF"/>
        </w:rPr>
        <w:t>条，</w:t>
      </w:r>
      <w:r>
        <w:rPr>
          <w:rFonts w:hint="eastAsia" w:ascii="仿宋_GB2312" w:hAnsi="仿宋_GB2312" w:eastAsia="仿宋_GB2312" w:cs="仿宋_GB2312"/>
          <w:b w:val="0"/>
          <w:bCs w:val="0"/>
          <w:color w:val="auto"/>
          <w:sz w:val="32"/>
          <w:szCs w:val="32"/>
          <w:highlight w:val="none"/>
          <w:shd w:val="clear" w:color="auto" w:fill="FFFFFF"/>
          <w:lang w:val="en-US" w:eastAsia="zh-CN"/>
        </w:rPr>
        <w:t>爱安丘石埠子镇政务号1128条，</w:t>
      </w:r>
      <w:r>
        <w:rPr>
          <w:rFonts w:hint="eastAsia" w:ascii="仿宋_GB2312" w:hAnsi="仿宋_GB2312" w:eastAsia="仿宋_GB2312" w:cs="仿宋_GB2312"/>
          <w:b w:val="0"/>
          <w:bCs w:val="0"/>
          <w:color w:val="auto"/>
          <w:sz w:val="32"/>
          <w:szCs w:val="32"/>
          <w:highlight w:val="none"/>
          <w:shd w:val="clear" w:color="auto" w:fill="FFFFFF"/>
        </w:rPr>
        <w:t>涵盖工作动态</w:t>
      </w:r>
      <w:r>
        <w:rPr>
          <w:rFonts w:hint="eastAsia" w:ascii="仿宋_GB2312" w:hAnsi="仿宋_GB2312" w:eastAsia="仿宋_GB2312" w:cs="仿宋_GB2312"/>
          <w:b w:val="0"/>
          <w:bCs w:val="0"/>
          <w:color w:val="auto"/>
          <w:sz w:val="32"/>
          <w:szCs w:val="32"/>
          <w:highlight w:val="none"/>
          <w:shd w:val="clear" w:color="auto" w:fill="FFFFFF"/>
          <w:lang w:val="en-US" w:eastAsia="zh-CN"/>
        </w:rPr>
        <w:t>等</w:t>
      </w:r>
      <w:r>
        <w:rPr>
          <w:rFonts w:hint="eastAsia" w:ascii="仿宋_GB2312" w:hAnsi="仿宋_GB2312" w:eastAsia="仿宋_GB2312" w:cs="仿宋_GB2312"/>
          <w:b w:val="0"/>
          <w:bCs w:val="0"/>
          <w:color w:val="auto"/>
          <w:sz w:val="32"/>
          <w:szCs w:val="32"/>
          <w:highlight w:val="none"/>
          <w:shd w:val="clear" w:color="auto" w:fill="FFFFFF"/>
        </w:rPr>
        <w:t>各类信息。</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2</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rPr>
        <w:t>公开机关职能、机构设置、办公地址、办公时间、联系方式、负责人姓名及政务公开领导小组情况</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公开财政预决算情况，国家法律、法规、规章等政府信息；</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及时公开扶贫、教育、医疗等方面的政策，环境保护、安全生产的督查情况；贯彻落实农业农村政策、农田水利工程建设运营、社会救助等方面信息。</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kern w:val="0"/>
          <w:sz w:val="24"/>
          <w:szCs w:val="24"/>
        </w:rPr>
      </w:pPr>
      <w:r>
        <w:rPr>
          <w:rFonts w:hint="eastAsia" w:ascii="仿宋_GB2312" w:hAnsi="仿宋" w:eastAsia="仿宋_GB2312" w:cs="仿宋"/>
          <w:b/>
          <w:bCs/>
          <w:kern w:val="2"/>
          <w:sz w:val="32"/>
          <w:szCs w:val="32"/>
          <w:lang w:val="en-US" w:eastAsia="zh-CN" w:bidi="ar-SA"/>
        </w:rPr>
        <w:t>3.解读回应关切</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2"/>
          <w:sz w:val="32"/>
          <w:szCs w:val="32"/>
          <w:highlight w:val="none"/>
          <w:shd w:val="clear" w:color="auto" w:fill="FFFFFF"/>
          <w:lang w:val="en-US" w:eastAsia="zh-CN" w:bidi="ar-SA"/>
        </w:rPr>
        <w:t>采用线下线上相结合的模式，宣传基层政务公开相关内容；开展“政府开放月”主题活动，组织党员、群众代表走进街道便民服务大厅，了解政务服务。</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ascii="仿宋_GB2312" w:hAnsi="宋体" w:eastAsia="仿宋_GB2312" w:cs="仿宋_GB2312"/>
          <w:i w:val="0"/>
          <w:iCs w:val="0"/>
          <w:caps w:val="0"/>
          <w:color w:val="333333"/>
          <w:spacing w:val="0"/>
          <w:sz w:val="32"/>
          <w:szCs w:val="32"/>
          <w:shd w:val="clear" w:color="auto" w:fill="FFFFFF"/>
        </w:rPr>
        <w:t>修改完善《政府信息依申请公开操作细则》，明确办理流程、细化申请内容、确保依法依规答复告知，</w:t>
      </w:r>
      <w:r>
        <w:rPr>
          <w:rFonts w:hint="eastAsia" w:ascii="仿宋_GB2312" w:hAnsi="宋体" w:eastAsia="仿宋_GB2312" w:cs="仿宋_GB2312"/>
          <w:i w:val="0"/>
          <w:iCs w:val="0"/>
          <w:caps w:val="0"/>
          <w:color w:val="333333"/>
          <w:spacing w:val="0"/>
          <w:sz w:val="32"/>
          <w:szCs w:val="32"/>
          <w:shd w:val="clear" w:color="auto" w:fill="FFFFFF"/>
        </w:rPr>
        <w:t>严格按照依申请公开制度开展工作。</w:t>
      </w:r>
      <w:bookmarkStart w:id="0" w:name="_GoBack"/>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2023年，安丘市石埠子镇人民政府新收到政府信息公开申请1件，办理涉及政策文件类依申请公开1件，</w:t>
      </w:r>
      <w:bookmarkEnd w:id="0"/>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因政府信息公开被申请行政复议0件，提起行政诉讼0件。2023年度本机关依申请公开政府信息未收取任何费用。</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jc w:val="center"/>
        <w:textAlignment w:val="auto"/>
      </w:pPr>
      <w:r>
        <w:rPr>
          <w:rFonts w:hint="eastAsia" w:eastAsia="宋体"/>
          <w:highlight w:val="none"/>
          <w:lang w:eastAsia="zh-CN"/>
        </w:rPr>
        <w:object>
          <v:shape id="_x0000_i1025" o:spt="75" type="#_x0000_t75" style="height:206.4pt;width:423.45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（三）政府信息管理</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严格落实信息公开主体责任，完善政府信息发布机制、政府信息公开审</w:t>
      </w:r>
      <w:r>
        <w:rPr>
          <w:rFonts w:hint="eastAsia" w:ascii="仿宋_GB2312" w:hAnsi="仿宋_GB2312" w:eastAsia="仿宋_GB2312" w:cs="仿宋_GB2312"/>
          <w:color w:val="auto"/>
          <w:sz w:val="32"/>
          <w:szCs w:val="32"/>
          <w:highlight w:val="none"/>
          <w:lang w:val="en-US" w:eastAsia="zh-CN"/>
        </w:rPr>
        <w:t>核</w:t>
      </w:r>
      <w:r>
        <w:rPr>
          <w:rFonts w:hint="eastAsia" w:ascii="仿宋_GB2312" w:hAnsi="仿宋_GB2312" w:eastAsia="仿宋_GB2312" w:cs="仿宋_GB2312"/>
          <w:color w:val="auto"/>
          <w:sz w:val="32"/>
          <w:szCs w:val="32"/>
          <w:highlight w:val="none"/>
        </w:rPr>
        <w:t>机制，完善主动公开目录，根据工作进展，</w:t>
      </w:r>
      <w:r>
        <w:rPr>
          <w:rFonts w:hint="eastAsia" w:ascii="仿宋_GB2312" w:hAnsi="仿宋_GB2312" w:eastAsia="仿宋_GB2312" w:cs="仿宋_GB2312"/>
          <w:color w:val="auto"/>
          <w:sz w:val="32"/>
          <w:szCs w:val="32"/>
          <w:highlight w:val="none"/>
          <w:lang w:val="en-US" w:eastAsia="zh-CN"/>
        </w:rPr>
        <w:t>加强《石埠子镇政府信息全生命周期管理制度》建设。建设政府信息管理动态调整机制，认真落实国家保密规定，确保公开信息不涉密。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通过政府网站、公众</w:t>
      </w:r>
      <w:r>
        <w:rPr>
          <w:rFonts w:hint="eastAsia" w:ascii="仿宋_GB2312" w:hAnsi="仿宋_GB2312" w:eastAsia="仿宋_GB2312" w:cs="仿宋_GB2312"/>
          <w:color w:val="auto"/>
          <w:sz w:val="32"/>
          <w:szCs w:val="32"/>
          <w:highlight w:val="none"/>
        </w:rPr>
        <w:t>号</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shd w:val="clear" w:color="auto" w:fill="FFFFFF"/>
          <w:lang w:val="en-US" w:eastAsia="zh-CN"/>
        </w:rPr>
        <w:t>爱安丘政企号、</w:t>
      </w:r>
      <w:r>
        <w:rPr>
          <w:rFonts w:ascii="仿宋_GB2312" w:hAnsi="仿宋_GB2312" w:eastAsia="仿宋_GB2312" w:cs="仿宋_GB2312"/>
          <w:color w:val="auto"/>
          <w:sz w:val="32"/>
          <w:szCs w:val="32"/>
          <w:highlight w:val="none"/>
        </w:rPr>
        <w:t>镇便民服务大厅等线上线下相结合的方式，向社会各界公开。</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完善政务新媒体公众号功能，添加互动平台、爱山东政务服务等便民服务快捷入口。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调整</w:t>
      </w:r>
      <w:r>
        <w:rPr>
          <w:rFonts w:ascii="仿宋_GB2312" w:hAnsi="仿宋_GB2312" w:eastAsia="仿宋_GB2312" w:cs="仿宋_GB2312"/>
          <w:color w:val="auto"/>
          <w:sz w:val="32"/>
          <w:szCs w:val="32"/>
          <w:highlight w:val="none"/>
        </w:rPr>
        <w:t>政务公开领导小组，</w:t>
      </w:r>
      <w:r>
        <w:rPr>
          <w:rFonts w:hint="eastAsia" w:ascii="仿宋_GB2312" w:hAnsi="仿宋_GB2312" w:eastAsia="仿宋_GB2312" w:cs="仿宋_GB2312"/>
          <w:color w:val="auto"/>
          <w:sz w:val="32"/>
          <w:szCs w:val="32"/>
          <w:highlight w:val="none"/>
          <w:lang w:val="en-US" w:eastAsia="zh-CN"/>
        </w:rPr>
        <w:t>配备1</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政务公开工作</w:t>
      </w:r>
      <w:r>
        <w:rPr>
          <w:rFonts w:hint="eastAsia" w:ascii="仿宋_GB2312" w:hAnsi="仿宋_GB2312" w:eastAsia="仿宋_GB2312" w:cs="仿宋_GB2312"/>
          <w:color w:val="auto"/>
          <w:sz w:val="32"/>
          <w:szCs w:val="32"/>
          <w:highlight w:val="none"/>
        </w:rPr>
        <w:t>专职人员，</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val="en-US" w:eastAsia="zh-CN"/>
        </w:rPr>
        <w:t>投入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分解各项政策要求和重点任务；将政务公开工作纳入日常考核内容</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lang w:val="en-US" w:eastAsia="zh-CN"/>
        </w:rPr>
        <w:t>工作监督</w:t>
      </w:r>
      <w:r>
        <w:rPr>
          <w:rFonts w:hint="eastAsia" w:ascii="仿宋_GB2312" w:hAnsi="仿宋_GB2312" w:eastAsia="仿宋_GB2312" w:cs="仿宋_GB2312"/>
          <w:color w:val="auto"/>
          <w:sz w:val="32"/>
          <w:szCs w:val="32"/>
          <w:highlight w:val="none"/>
          <w:lang w:eastAsia="zh-CN"/>
        </w:rPr>
        <w:t>指导，压实责任，</w:t>
      </w:r>
      <w:r>
        <w:rPr>
          <w:rFonts w:hint="eastAsia" w:ascii="仿宋_GB2312" w:hAnsi="仿宋_GB2312" w:eastAsia="仿宋_GB2312" w:cs="仿宋_GB2312"/>
          <w:color w:val="auto"/>
          <w:sz w:val="32"/>
          <w:szCs w:val="32"/>
          <w:highlight w:val="none"/>
        </w:rPr>
        <w:t>全年开展政务公开专题培训</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建立社会评议制度；2023年未发生因政府信息公开引起的责任追究情况。</w:t>
      </w:r>
    </w:p>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4"/>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eastAsia="宋体" w:cs="Calibri"/>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eastAsia="宋体" w:cs="Calibri"/>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cs="Calibri"/>
                <w:color w:val="auto"/>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firstLine="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center"/>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60" w:lineRule="exact"/>
              <w:ind w:left="0" w:right="0"/>
              <w:jc w:val="left"/>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eastAsia="宋体"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cs="Calibri"/>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lang w:val="en-US" w:eastAsia="zh-CN"/>
        </w:rPr>
        <w:t>存在的主要问题及改进情况</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（一）2022年问题整改情况</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1.在信息公开内容方面。丰富信息发布内容，除日常工作之外，制作印象石埠子——春夏秋冬系列公众号，宣传石埠子美景。同时注意特殊提醒及警示信息提醒等内容，扩大发布内容面。</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2.在更新不及时方面。提高更新频率，镇政府重要会议结束后，在一天内将可公开内容上传至政府网站，并同步在公众号进行转发，安排专人进行信息公开维护，及时发布相关信息。</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（二）2023年存在的主要问题及改进情况</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b w:val="0"/>
          <w:bCs w:val="0"/>
          <w:kern w:val="2"/>
          <w:sz w:val="32"/>
          <w:szCs w:val="32"/>
          <w:highlight w:val="none"/>
          <w:lang w:val="en-US" w:eastAsia="zh-CN" w:bidi="ar-SA"/>
        </w:rPr>
        <w:t>一是重点领域信息公开还不够细化深入；二是政策解读的针对性和实效性还有待加强。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改进情况：</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kern w:val="2"/>
          <w:sz w:val="32"/>
          <w:szCs w:val="32"/>
          <w:highlight w:val="none"/>
          <w:lang w:val="en-US" w:eastAsia="zh-CN" w:bidi="ar-SA"/>
        </w:rPr>
        <w:t>强化重点领域信息公开。聚焦公众关注的热点重点难点，持续做好教育、医疗、就业、交通、食品药品等民生信息公开，及时发布重大项目、乡村振兴、生态环境等重点领域政策文件和实施情况，主动回应人民群众关心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w:t>
      </w:r>
      <w:r>
        <w:rPr>
          <w:rFonts w:hint="eastAsia" w:ascii="仿宋_GB2312" w:hAnsi="仿宋_GB2312" w:eastAsia="仿宋_GB2312" w:cs="仿宋_GB2312"/>
          <w:b w:val="0"/>
          <w:bCs w:val="0"/>
          <w:sz w:val="32"/>
          <w:szCs w:val="32"/>
          <w:lang w:val="en-US" w:eastAsia="zh-CN"/>
        </w:rPr>
        <w:t>是强化重要政策解读发布。综合运用简明问答、图文结合等形式对重大政策文件开展多维度解读，让人民群众了解政策时易获取、能看懂。依托政府网站、便民服务热线、政务服务大厅设立的政策咨询服务窗口及时解疑释惑，更好解答与人民群众切身利益密切相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（二）落实安丘市2023年度政务公开工作要点情况</w:t>
      </w:r>
    </w:p>
    <w:p>
      <w:pPr>
        <w:pStyle w:val="3"/>
        <w:keepNext w:val="0"/>
        <w:keepLines w:val="0"/>
        <w:pageBreakBefore w:val="0"/>
        <w:shd w:val="clear" w:color="auto" w:fill="auto"/>
        <w:kinsoku/>
        <w:wordWrap/>
        <w:overflowPunct/>
        <w:topLinePunct w:val="0"/>
        <w:autoSpaceDE/>
        <w:autoSpaceDN/>
        <w:bidi w:val="0"/>
        <w:spacing w:line="560" w:lineRule="exact"/>
        <w:textAlignment w:val="auto"/>
        <w:rPr>
          <w:rFonts w:hint="eastAsia"/>
          <w:color w:val="auto"/>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我镇制定公开发布了《安丘市石埠子镇2023年信息主动公开基本目录》，聚焦重点领域改革、优化营商环境、民生保障、安全生产等重点领域，做好重大政策发布解读、社会关切回应、政民互动等，持续抓好基层政务公开标准化规范化建设，扎实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2023年，安丘市石埠子镇人民政府未收到人大代表建议和政协委员提案。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w:t>
      </w:r>
      <w:r>
        <w:rPr>
          <w:rFonts w:hint="eastAsia" w:ascii="楷体_GB2312" w:hAnsi="楷体_GB2312" w:eastAsia="楷体_GB2312" w:cs="楷体_GB2312"/>
          <w:color w:val="auto"/>
          <w:kern w:val="0"/>
          <w:sz w:val="32"/>
          <w:szCs w:val="32"/>
          <w:highlight w:val="none"/>
          <w:lang w:val="en-US" w:eastAsia="zh-CN" w:bidi="ar"/>
        </w:rPr>
        <w:t>安丘市石埠子镇人民政府</w:t>
      </w:r>
      <w:r>
        <w:rPr>
          <w:rFonts w:hint="eastAsia" w:ascii="楷体_GB2312" w:hAnsi="楷体_GB2312" w:eastAsia="楷体_GB2312" w:cs="楷体_GB2312"/>
          <w:kern w:val="0"/>
          <w:sz w:val="32"/>
          <w:szCs w:val="32"/>
          <w:lang w:val="en-US" w:eastAsia="zh-CN" w:bidi="ar"/>
        </w:rPr>
        <w:t>2023年度政务公开工作创新情况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石埠子镇积极探索政务公开工作模式，推出“12345+N”政务公开模式。即打造一个专区，围绕两条主线，依托三个平台，动员四类人员，聚焦五大重点，利用N种公开方式。不断提高政务公开工作。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w:t>
      </w:r>
      <w:r>
        <w:rPr>
          <w:rFonts w:hint="eastAsia" w:ascii="楷体_GB2312" w:hAnsi="楷体_GB2312" w:eastAsia="楷体_GB2312" w:cs="楷体_GB2312"/>
          <w:color w:val="auto"/>
          <w:kern w:val="0"/>
          <w:sz w:val="32"/>
          <w:szCs w:val="32"/>
          <w:highlight w:val="none"/>
          <w:lang w:val="en-US" w:eastAsia="zh-CN" w:bidi="ar"/>
        </w:rPr>
        <w:t>安丘市石埠子镇人民政府</w:t>
      </w:r>
      <w:r>
        <w:rPr>
          <w:rFonts w:hint="eastAsia" w:ascii="楷体_GB2312" w:hAnsi="楷体_GB2312" w:eastAsia="楷体_GB2312" w:cs="楷体_GB2312"/>
          <w:kern w:val="0"/>
          <w:sz w:val="32"/>
          <w:szCs w:val="32"/>
          <w:lang w:val="en-US" w:eastAsia="zh-CN" w:bidi="ar"/>
        </w:rPr>
        <w:t>2023年度政府信息公开工作年度报告数据统计需要说明的事项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宋体" w:cs="仿宋_GB2312"/>
          <w:color w:val="auto"/>
          <w:sz w:val="32"/>
          <w:szCs w:val="32"/>
          <w:highlight w:val="none"/>
          <w:u w:val="none"/>
          <w:lang w:val="en-US" w:eastAsia="zh-CN"/>
        </w:rPr>
      </w:pPr>
      <w:r>
        <w:rPr>
          <w:rFonts w:hint="eastAsia" w:ascii="仿宋_GB2312" w:hAnsi="仿宋_GB2312" w:eastAsia="仿宋_GB2312" w:cs="仿宋_GB2312"/>
          <w:sz w:val="32"/>
          <w:szCs w:val="32"/>
          <w:lang w:val="en-US" w:eastAsia="zh-CN"/>
        </w:rPr>
        <w:t>本年度报告中所列各项数据的统计期限自2023年1月1日至2023年12月31日。本年度报告的电子版可在安丘市人民政府门户网站（http://www.anqiu.gov.cn/）下载。</w:t>
      </w:r>
      <w:r>
        <w:rPr>
          <w:rFonts w:hint="eastAsia" w:ascii="仿宋_GB2312" w:hAnsi="仿宋_GB2312" w:eastAsia="仿宋_GB2312" w:cs="仿宋_GB2312"/>
          <w:sz w:val="32"/>
          <w:szCs w:val="32"/>
          <w:highlight w:val="none"/>
          <w:lang w:val="en-US" w:eastAsia="zh-CN"/>
        </w:rPr>
        <w:t>如对本报告有任何疑问，</w:t>
      </w:r>
      <w:r>
        <w:rPr>
          <w:rFonts w:hint="eastAsia" w:ascii="仿宋_GB2312" w:hAnsi="仿宋_GB2312" w:eastAsia="仿宋_GB2312" w:cs="仿宋_GB2312"/>
          <w:color w:val="auto"/>
          <w:sz w:val="32"/>
          <w:szCs w:val="32"/>
          <w:highlight w:val="none"/>
          <w:lang w:val="en-US" w:eastAsia="zh-CN"/>
        </w:rPr>
        <w:t>请与安丘市石埠子镇人民政府政府信息公开领导小组办公室联系（地址：山东省安丘市安丘市石埠子镇人民政府党政办公室，邮编：262100，电话：0536-4761068，传真：0536-4761066，电子邮箱：</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"mailto:sbzdangzheng@wf.shandong.cn）"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6"/>
          <w:rFonts w:hint="eastAsia" w:ascii="仿宋_GB2312" w:hAnsi="仿宋_GB2312" w:eastAsia="仿宋_GB2312" w:cs="仿宋_GB2312"/>
          <w:color w:val="auto"/>
          <w:sz w:val="32"/>
          <w:szCs w:val="32"/>
          <w:highlight w:val="none"/>
          <w:u w:val="none"/>
          <w:lang w:val="en-US" w:eastAsia="zh-CN"/>
        </w:rPr>
        <w:t>sbzdangzheng@wf.shandong.cn）</w:t>
      </w:r>
      <w:r>
        <w:rPr>
          <w:rFonts w:hint="eastAsia" w:ascii="仿宋_GB2312" w:hAnsi="仿宋_GB2312" w:eastAsia="仿宋_GB2312" w:cs="仿宋_GB2312"/>
          <w:color w:val="auto"/>
          <w:sz w:val="32"/>
          <w:szCs w:val="32"/>
          <w:highlight w:val="none"/>
          <w:u w:val="none"/>
          <w:lang w:val="en-US" w:eastAsia="zh-CN"/>
        </w:rPr>
        <w:fldChar w:fldCharType="end"/>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color w:val="auto"/>
          <w:kern w:val="0"/>
          <w:sz w:val="32"/>
          <w:szCs w:val="32"/>
          <w:highlight w:val="none"/>
          <w:lang w:val="en-US" w:eastAsia="zh-CN" w:bidi="ar"/>
        </w:rPr>
        <w:t>安丘市石埠子镇人民政府</w:t>
      </w:r>
      <w:r>
        <w:rPr>
          <w:rFonts w:hint="eastAsia" w:ascii="楷体_GB2312" w:hAnsi="楷体_GB2312" w:eastAsia="楷体_GB2312" w:cs="楷体_GB2312"/>
          <w:sz w:val="32"/>
          <w:szCs w:val="32"/>
          <w:highlight w:val="none"/>
          <w:lang w:val="en-US" w:eastAsia="zh-CN"/>
        </w:rPr>
        <w:t>2023年度没有其他需要报告的事项。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color w:val="auto"/>
          <w:kern w:val="0"/>
          <w:sz w:val="32"/>
          <w:szCs w:val="32"/>
          <w:highlight w:val="none"/>
          <w:lang w:val="en-US" w:eastAsia="zh-CN" w:bidi="ar"/>
        </w:rPr>
        <w:t>安丘市石埠子镇人民政府</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pStyle w:val="3"/>
        <w:jc w:val="right"/>
        <w:rPr>
          <w:rFonts w:hint="eastAsia" w:ascii="仿宋_GB2312" w:hAnsi="仿宋_GB2312" w:eastAsia="仿宋_GB2312" w:cs="仿宋_GB2312"/>
          <w:sz w:val="32"/>
          <w:szCs w:val="32"/>
          <w:lang w:val="en-US" w:eastAsia="zh-CN"/>
        </w:rPr>
      </w:pPr>
    </w:p>
    <w:p>
      <w:pPr>
        <w:pStyle w:val="3"/>
        <w:jc w:val="righ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安丘市石埠子镇人民政府</w:t>
      </w:r>
    </w:p>
    <w:p>
      <w:pPr>
        <w:pStyle w:val="3"/>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2024年1月14日</w:t>
      </w:r>
    </w:p>
    <w:p>
      <w:pPr>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sectPr>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ZDk1ZDEwZjRlOTY3NzY2NTdlZTc5Y2MzNTI3MDcifQ=="/>
  </w:docVars>
  <w:rsids>
    <w:rsidRoot w:val="00000000"/>
    <w:rsid w:val="08ED6FA9"/>
    <w:rsid w:val="39DB2F66"/>
    <w:rsid w:val="4818209E"/>
    <w:rsid w:val="4EFD7937"/>
    <w:rsid w:val="562C662E"/>
    <w:rsid w:val="58FC7580"/>
    <w:rsid w:val="6C7D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Indent"/>
    <w:basedOn w:val="1"/>
    <w:autoRedefine/>
    <w:qFormat/>
    <w:uiPriority w:val="0"/>
    <w:pPr>
      <w:ind w:firstLine="420" w:firstLineChars="200"/>
    </w:pPr>
  </w:style>
  <w:style w:type="character" w:styleId="6">
    <w:name w:val="Hyperlink"/>
    <w:basedOn w:val="5"/>
    <w:autoRedefine/>
    <w:qFormat/>
    <w:uiPriority w:val="0"/>
    <w:rPr>
      <w:color w:val="0000FF"/>
      <w:u w:val="single"/>
    </w:rPr>
  </w:style>
  <w:style w:type="paragraph" w:customStyle="1" w:styleId="7">
    <w:name w:val="普通(网站) Char"/>
    <w:basedOn w:val="1"/>
    <w:autoRedefine/>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3372</Words>
  <Characters>3563</Characters>
  <Lines>0</Lines>
  <Paragraphs>0</Paragraphs>
  <TotalTime>24</TotalTime>
  <ScaleCrop>false</ScaleCrop>
  <LinksUpToDate>false</LinksUpToDate>
  <CharactersWithSpaces>3563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2021-08-28T12:09:00Z</dcterms:created>
  <dc:creator>Lenovo</dc:creator>
  <cp:lastModifiedBy>WPS_1601882411</cp:lastModifiedBy>
  <dcterms:modified xsi:type="dcterms:W3CDTF">2024-01-24T03:28:53Z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E20A3621F99A4CA4A83594B6B4CB0B3A</vt:lpwstr>
  </property>
</Properties>
</file>